
<file path=[Content_Types].xml><?xml version="1.0" encoding="utf-8"?>
<Types xmlns="http://schemas.openxmlformats.org/package/2006/content-types">
  <Default Extension="xml" ContentType="application/xml"/>
  <Default Extension="bin" ContentType="application/vnd.openxmlformats-officedocument.oleObject"/>
  <Default Extension="tiff" ContentType="image/tif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2D137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6FEDAC2">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6A1B1C24">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 xml:space="preserve"> </w:t>
            </w:r>
            <w:r>
              <w:rPr>
                <w:rFonts w:ascii="黑体" w:hAnsi="黑体" w:eastAsia="黑体"/>
                <w:sz w:val="21"/>
                <w:szCs w:val="21"/>
              </w:rPr>
              <w:fldChar w:fldCharType="end"/>
            </w:r>
            <w:bookmarkEnd w:id="0"/>
          </w:p>
        </w:tc>
      </w:tr>
      <w:tr w14:paraId="74124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FF628A4">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0182054E">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点击此处添加CCS号</w:t>
            </w:r>
            <w:r>
              <w:rPr>
                <w:rFonts w:ascii="黑体" w:hAnsi="黑体" w:eastAsia="黑体"/>
                <w:sz w:val="21"/>
                <w:szCs w:val="21"/>
              </w:rPr>
              <w:fldChar w:fldCharType="end"/>
            </w:r>
            <w:bookmarkEnd w:id="1"/>
          </w:p>
        </w:tc>
      </w:tr>
    </w:tbl>
    <w:tbl>
      <w:tblPr>
        <w:tblStyle w:val="29"/>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6BD6154A">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7B32EDB4">
            <w:pPr>
              <w:pStyle w:val="51"/>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     </w:t>
            </w:r>
            <w:r>
              <w:fldChar w:fldCharType="end"/>
            </w:r>
            <w:bookmarkEnd w:id="3"/>
          </w:p>
        </w:tc>
      </w:tr>
    </w:tbl>
    <w:p w14:paraId="0EFB9E50">
      <w:pPr>
        <w:pStyle w:val="52"/>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长三角区域</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65F5223A">
      <w:pPr>
        <w:pStyle w:val="197"/>
        <w:framePr/>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XX/T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082EE9A2">
      <w:pPr>
        <w:pStyle w:val="198"/>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0AC5A82C">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5BD15BED">
      <w:pPr>
        <w:pStyle w:val="52"/>
        <w:framePr w:w="9639" w:h="6976" w:hRule="exact" w:hSpace="0" w:vSpace="0" w:wrap="around" w:hAnchor="page" w:y="6408"/>
        <w:jc w:val="center"/>
        <w:rPr>
          <w:rFonts w:ascii="黑体" w:hAnsi="黑体" w:eastAsia="黑体"/>
          <w:b w:val="0"/>
          <w:bCs w:val="0"/>
          <w:w w:val="100"/>
        </w:rPr>
      </w:pPr>
    </w:p>
    <w:p w14:paraId="09C078EE">
      <w:pPr>
        <w:pStyle w:val="199"/>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地质灾害风险调查与评价规范</w:t>
      </w:r>
      <w:r>
        <w:fldChar w:fldCharType="end"/>
      </w:r>
      <w:bookmarkEnd w:id="9"/>
    </w:p>
    <w:p w14:paraId="37EBF02B">
      <w:pPr>
        <w:framePr w:w="9639" w:h="6974" w:hRule="exact" w:wrap="around" w:vAnchor="page" w:hAnchor="page" w:x="1419" w:y="6408" w:anchorLock="1"/>
        <w:ind w:left="-1418"/>
      </w:pPr>
    </w:p>
    <w:p w14:paraId="716973D1">
      <w:pPr>
        <w:pStyle w:val="127"/>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hint="eastAsia" w:ascii="黑体" w:hAnsi="黑体" w:eastAsia="黑体"/>
          <w:szCs w:val="28"/>
        </w:rPr>
        <w:t>Standard for geohazard risk survey and evalution</w:t>
      </w:r>
      <w:r>
        <w:rPr>
          <w:rFonts w:ascii="黑体" w:hAnsi="黑体" w:eastAsia="黑体"/>
          <w:szCs w:val="28"/>
        </w:rPr>
        <w:fldChar w:fldCharType="end"/>
      </w:r>
      <w:bookmarkEnd w:id="10"/>
    </w:p>
    <w:p w14:paraId="758CFCBA">
      <w:pPr>
        <w:framePr w:w="9639" w:h="6974" w:hRule="exact" w:wrap="around" w:vAnchor="page" w:hAnchor="page" w:x="1419" w:y="6408" w:anchorLock="1"/>
        <w:spacing w:line="760" w:lineRule="exact"/>
        <w:ind w:left="-1418"/>
      </w:pPr>
    </w:p>
    <w:p w14:paraId="3CC869AD">
      <w:pPr>
        <w:pStyle w:val="127"/>
        <w:framePr w:w="9639" w:h="6974" w:hRule="exact" w:wrap="around" w:vAnchor="page" w:hAnchor="page" w:x="1419" w:y="6408" w:anchorLock="1"/>
        <w:textAlignment w:val="bottom"/>
        <w:rPr>
          <w:rFonts w:eastAsia="黑体"/>
          <w:szCs w:val="28"/>
        </w:rPr>
      </w:pPr>
    </w:p>
    <w:p w14:paraId="6F8AE04C">
      <w:pPr>
        <w:pStyle w:val="127"/>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3DCBA444">
      <w:pPr>
        <w:pStyle w:val="127"/>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4869AAD5">
      <w:pPr>
        <w:pStyle w:val="127"/>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18CB76F6">
      <w:pPr>
        <w:pStyle w:val="195"/>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509F7D14">
      <w:pPr>
        <w:pStyle w:val="196"/>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118E4D92">
      <w:pPr>
        <w:pStyle w:val="153"/>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浙江省、上海市、江苏省、安徽省市场监督管理局</w:t>
      </w:r>
      <w:r>
        <w:rPr>
          <w:rFonts w:hAnsi="黑体"/>
          <w:w w:val="100"/>
          <w:sz w:val="28"/>
        </w:rPr>
        <w:fldChar w:fldCharType="end"/>
      </w:r>
      <w:bookmarkEnd w:id="20"/>
      <w:r>
        <w:rPr>
          <w:rFonts w:ascii="Times New Roman"/>
          <w:w w:val="100"/>
          <w:sz w:val="28"/>
        </w:rPr>
        <w:t>  </w:t>
      </w:r>
      <w:r>
        <w:rPr>
          <w:rStyle w:val="231"/>
          <w:rFonts w:hint="eastAsia" w:hAnsi="黑体"/>
          <w:position w:val="0"/>
        </w:rPr>
        <w:t>发</w:t>
      </w:r>
      <w:r>
        <w:rPr>
          <w:rStyle w:val="231"/>
          <w:rFonts w:hint="eastAsia" w:hAnsi="黑体"/>
          <w:spacing w:val="0"/>
          <w:position w:val="0"/>
        </w:rPr>
        <w:t>布</w:t>
      </w:r>
    </w:p>
    <w:p w14:paraId="1F816832">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66C9D01D">
      <w:pPr>
        <w:pStyle w:val="93"/>
        <w:spacing w:after="468"/>
        <w:rPr>
          <w:rFonts w:hint="eastAsia"/>
        </w:rPr>
      </w:pPr>
      <w:bookmarkStart w:id="21" w:name="BookMark1"/>
      <w:bookmarkStart w:id="22" w:name="_Toc176194062"/>
      <w:r>
        <w:rPr>
          <w:rFonts w:hint="eastAsia"/>
          <w:spacing w:val="320"/>
        </w:rPr>
        <w:t>目</w:t>
      </w:r>
      <w:r>
        <w:rPr>
          <w:rFonts w:hint="eastAsia"/>
        </w:rPr>
        <w:t>次</w:t>
      </w:r>
    </w:p>
    <w:p w14:paraId="75D3C21C">
      <w:pPr>
        <w:pStyle w:val="20"/>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"标准文件_一级条标题,2,标准文件_二级条标题,3,标准文件_附录一级条标题,2,标准文件_附录二级条标题,3," </w:instrText>
      </w:r>
      <w:r>
        <w:fldChar w:fldCharType="separate"/>
      </w:r>
      <w:r>
        <w:fldChar w:fldCharType="begin"/>
      </w:r>
      <w:r>
        <w:instrText xml:space="preserve"> HYPERLINK \l "_Toc178172266" </w:instrText>
      </w:r>
      <w:r>
        <w:fldChar w:fldCharType="separate"/>
      </w:r>
      <w:r>
        <w:rPr>
          <w:rStyle w:val="34"/>
        </w:rPr>
        <w:t>前言</w:t>
      </w:r>
      <w:r>
        <w:tab/>
      </w:r>
      <w:r>
        <w:fldChar w:fldCharType="begin"/>
      </w:r>
      <w:r>
        <w:instrText xml:space="preserve"> PAGEREF _Toc178172266 \h </w:instrText>
      </w:r>
      <w:r>
        <w:fldChar w:fldCharType="separate"/>
      </w:r>
      <w:r>
        <w:t>V</w:t>
      </w:r>
      <w:r>
        <w:fldChar w:fldCharType="end"/>
      </w:r>
      <w:r>
        <w:fldChar w:fldCharType="end"/>
      </w:r>
    </w:p>
    <w:p w14:paraId="57CAABB3">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"_Toc178172267" </w:instrText>
      </w:r>
      <w:r>
        <w:fldChar w:fldCharType="separate"/>
      </w:r>
      <w:r>
        <w:rPr>
          <w:rStyle w:val="34"/>
        </w:rPr>
        <w:t>引言</w:t>
      </w:r>
      <w:r>
        <w:tab/>
      </w:r>
      <w:r>
        <w:fldChar w:fldCharType="begin"/>
      </w:r>
      <w:r>
        <w:instrText xml:space="preserve"> PAGEREF _Toc178172267 \h </w:instrText>
      </w:r>
      <w:r>
        <w:fldChar w:fldCharType="separate"/>
      </w:r>
      <w:r>
        <w:t>VI</w:t>
      </w:r>
      <w:r>
        <w:fldChar w:fldCharType="end"/>
      </w:r>
      <w:r>
        <w:fldChar w:fldCharType="end"/>
      </w:r>
    </w:p>
    <w:p w14:paraId="1529D1DD">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"_Toc178172268" </w:instrText>
      </w:r>
      <w:r>
        <w:fldChar w:fldCharType="separate"/>
      </w:r>
      <w:r>
        <w:rPr>
          <w:rStyle w:val="34"/>
        </w:rPr>
        <w:t>1  范围</w:t>
      </w:r>
      <w:r>
        <w:tab/>
      </w:r>
      <w:r>
        <w:fldChar w:fldCharType="begin"/>
      </w:r>
      <w:r>
        <w:instrText xml:space="preserve"> PAGEREF _Toc178172268 \h </w:instrText>
      </w:r>
      <w:r>
        <w:fldChar w:fldCharType="separate"/>
      </w:r>
      <w:r>
        <w:t>1</w:t>
      </w:r>
      <w:r>
        <w:fldChar w:fldCharType="end"/>
      </w:r>
      <w:r>
        <w:fldChar w:fldCharType="end"/>
      </w:r>
    </w:p>
    <w:p w14:paraId="0064CAFA">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"_Toc178172269" </w:instrText>
      </w:r>
      <w:r>
        <w:fldChar w:fldCharType="separate"/>
      </w:r>
      <w:r>
        <w:rPr>
          <w:rStyle w:val="34"/>
        </w:rPr>
        <w:t>2  规范性引用文件</w:t>
      </w:r>
      <w:r>
        <w:tab/>
      </w:r>
      <w:r>
        <w:fldChar w:fldCharType="begin"/>
      </w:r>
      <w:r>
        <w:instrText xml:space="preserve"> PAGEREF _Toc178172269 \h </w:instrText>
      </w:r>
      <w:r>
        <w:fldChar w:fldCharType="separate"/>
      </w:r>
      <w:r>
        <w:t>1</w:t>
      </w:r>
      <w:r>
        <w:fldChar w:fldCharType="end"/>
      </w:r>
      <w:r>
        <w:fldChar w:fldCharType="end"/>
      </w:r>
    </w:p>
    <w:p w14:paraId="35CB9B6F">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"_Toc178172270" </w:instrText>
      </w:r>
      <w:r>
        <w:fldChar w:fldCharType="separate"/>
      </w:r>
      <w:r>
        <w:rPr>
          <w:rStyle w:val="34"/>
        </w:rPr>
        <w:t>3  术语和定义</w:t>
      </w:r>
      <w:r>
        <w:tab/>
      </w:r>
      <w:r>
        <w:fldChar w:fldCharType="begin"/>
      </w:r>
      <w:r>
        <w:instrText xml:space="preserve"> PAGEREF _Toc178172270 \h </w:instrText>
      </w:r>
      <w:r>
        <w:fldChar w:fldCharType="separate"/>
      </w:r>
      <w:r>
        <w:t>1</w:t>
      </w:r>
      <w:r>
        <w:fldChar w:fldCharType="end"/>
      </w:r>
      <w:r>
        <w:fldChar w:fldCharType="end"/>
      </w:r>
    </w:p>
    <w:p w14:paraId="5F16B728">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"_Toc178172271" </w:instrText>
      </w:r>
      <w:r>
        <w:fldChar w:fldCharType="separate"/>
      </w:r>
      <w:r>
        <w:rPr>
          <w:rStyle w:val="34"/>
        </w:rPr>
        <w:t>4  符号和缩略语</w:t>
      </w:r>
      <w:r>
        <w:tab/>
      </w:r>
      <w:r>
        <w:fldChar w:fldCharType="begin"/>
      </w:r>
      <w:r>
        <w:instrText xml:space="preserve"> PAGEREF _Toc178172271 \h </w:instrText>
      </w:r>
      <w:r>
        <w:fldChar w:fldCharType="separate"/>
      </w:r>
      <w:r>
        <w:t>3</w:t>
      </w:r>
      <w:r>
        <w:fldChar w:fldCharType="end"/>
      </w:r>
      <w:r>
        <w:fldChar w:fldCharType="end"/>
      </w:r>
    </w:p>
    <w:p w14:paraId="057D6CDA">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"_Toc178172272" </w:instrText>
      </w:r>
      <w:r>
        <w:fldChar w:fldCharType="separate"/>
      </w:r>
      <w:r>
        <w:rPr>
          <w:rStyle w:val="34"/>
        </w:rPr>
        <w:t>5  总则</w:t>
      </w:r>
      <w:r>
        <w:tab/>
      </w:r>
      <w:r>
        <w:fldChar w:fldCharType="begin"/>
      </w:r>
      <w:r>
        <w:instrText xml:space="preserve"> PAGEREF _Toc178172272 \h </w:instrText>
      </w:r>
      <w:r>
        <w:fldChar w:fldCharType="separate"/>
      </w:r>
      <w:r>
        <w:t>3</w:t>
      </w:r>
      <w:r>
        <w:fldChar w:fldCharType="end"/>
      </w:r>
      <w:r>
        <w:fldChar w:fldCharType="end"/>
      </w:r>
    </w:p>
    <w:p w14:paraId="37C58937">
      <w:pPr>
        <w:pStyle w:val="25"/>
        <w:rPr>
          <w:rFonts w:asciiTheme="minorHAnsi" w:hAnsiTheme="minorHAnsi" w:eastAsiaTheme="minorEastAsia" w:cstheme="minorBidi"/>
          <w:szCs w:val="22"/>
        </w:rPr>
      </w:pPr>
      <w:r>
        <w:fldChar w:fldCharType="begin"/>
      </w:r>
      <w:r>
        <w:instrText xml:space="preserve"> HYPERLINK \l "_Toc178172273" </w:instrText>
      </w:r>
      <w:r>
        <w:fldChar w:fldCharType="separate"/>
      </w:r>
      <w:r>
        <w:rPr>
          <w:rStyle w:val="34"/>
          <w14:scene3d w14:prst="orthographicFront">
            <w14:lightRig w14:rig="threePt" w14:dir="t">
              <w14:rot w14:lat="0" w14:lon="0" w14:rev="0"/>
            </w14:lightRig>
          </w14:scene3d>
        </w:rPr>
        <w:t xml:space="preserve">5.1 </w:t>
      </w:r>
      <w:r>
        <w:rPr>
          <w:rStyle w:val="34"/>
        </w:rPr>
        <w:t xml:space="preserve"> 目的</w:t>
      </w:r>
      <w:r>
        <w:tab/>
      </w:r>
      <w:r>
        <w:fldChar w:fldCharType="begin"/>
      </w:r>
      <w:r>
        <w:instrText xml:space="preserve"> PAGEREF _Toc178172273 \h </w:instrText>
      </w:r>
      <w:r>
        <w:fldChar w:fldCharType="separate"/>
      </w:r>
      <w:r>
        <w:t>3</w:t>
      </w:r>
      <w:r>
        <w:fldChar w:fldCharType="end"/>
      </w:r>
      <w:r>
        <w:fldChar w:fldCharType="end"/>
      </w:r>
    </w:p>
    <w:p w14:paraId="302DC84A">
      <w:pPr>
        <w:pStyle w:val="25"/>
        <w:rPr>
          <w:rFonts w:asciiTheme="minorHAnsi" w:hAnsiTheme="minorHAnsi" w:eastAsiaTheme="minorEastAsia" w:cstheme="minorBidi"/>
          <w:szCs w:val="22"/>
        </w:rPr>
      </w:pPr>
      <w:r>
        <w:fldChar w:fldCharType="begin"/>
      </w:r>
      <w:r>
        <w:instrText xml:space="preserve"> HYPERLINK \l "_Toc178172274" </w:instrText>
      </w:r>
      <w:r>
        <w:fldChar w:fldCharType="separate"/>
      </w:r>
      <w:r>
        <w:rPr>
          <w:rStyle w:val="34"/>
          <w14:scene3d w14:prst="orthographicFront">
            <w14:lightRig w14:rig="threePt" w14:dir="t">
              <w14:rot w14:lat="0" w14:lon="0" w14:rev="0"/>
            </w14:lightRig>
          </w14:scene3d>
        </w:rPr>
        <w:t xml:space="preserve">5.2 </w:t>
      </w:r>
      <w:r>
        <w:rPr>
          <w:rStyle w:val="34"/>
        </w:rPr>
        <w:t xml:space="preserve"> 任务</w:t>
      </w:r>
      <w:r>
        <w:tab/>
      </w:r>
      <w:r>
        <w:fldChar w:fldCharType="begin"/>
      </w:r>
      <w:r>
        <w:instrText xml:space="preserve"> PAGEREF _Toc178172274 \h </w:instrText>
      </w:r>
      <w:r>
        <w:fldChar w:fldCharType="separate"/>
      </w:r>
      <w:r>
        <w:t>3</w:t>
      </w:r>
      <w:r>
        <w:fldChar w:fldCharType="end"/>
      </w:r>
      <w:r>
        <w:fldChar w:fldCharType="end"/>
      </w:r>
    </w:p>
    <w:p w14:paraId="67699965">
      <w:pPr>
        <w:pStyle w:val="25"/>
        <w:rPr>
          <w:rFonts w:asciiTheme="minorHAnsi" w:hAnsiTheme="minorHAnsi" w:eastAsiaTheme="minorEastAsia" w:cstheme="minorBidi"/>
          <w:szCs w:val="22"/>
        </w:rPr>
      </w:pPr>
      <w:r>
        <w:fldChar w:fldCharType="begin"/>
      </w:r>
      <w:r>
        <w:instrText xml:space="preserve"> HYPERLINK \l "_Toc178172275" </w:instrText>
      </w:r>
      <w:r>
        <w:fldChar w:fldCharType="separate"/>
      </w:r>
      <w:r>
        <w:rPr>
          <w:rStyle w:val="34"/>
          <w14:scene3d w14:prst="orthographicFront">
            <w14:lightRig w14:rig="threePt" w14:dir="t">
              <w14:rot w14:lat="0" w14:lon="0" w14:rev="0"/>
            </w14:lightRig>
          </w14:scene3d>
        </w:rPr>
        <w:t xml:space="preserve">5.3 </w:t>
      </w:r>
      <w:r>
        <w:rPr>
          <w:rStyle w:val="34"/>
        </w:rPr>
        <w:t xml:space="preserve"> 调查进度和工作量</w:t>
      </w:r>
      <w:r>
        <w:tab/>
      </w:r>
      <w:r>
        <w:fldChar w:fldCharType="begin"/>
      </w:r>
      <w:r>
        <w:instrText xml:space="preserve"> PAGEREF _Toc178172275 \h </w:instrText>
      </w:r>
      <w:r>
        <w:fldChar w:fldCharType="separate"/>
      </w:r>
      <w:r>
        <w:t>4</w:t>
      </w:r>
      <w:r>
        <w:fldChar w:fldCharType="end"/>
      </w:r>
      <w:r>
        <w:fldChar w:fldCharType="end"/>
      </w:r>
    </w:p>
    <w:p w14:paraId="592EA1B7">
      <w:pPr>
        <w:pStyle w:val="25"/>
        <w:rPr>
          <w:rFonts w:asciiTheme="minorHAnsi" w:hAnsiTheme="minorHAnsi" w:eastAsiaTheme="minorEastAsia" w:cstheme="minorBidi"/>
          <w:szCs w:val="22"/>
        </w:rPr>
      </w:pPr>
      <w:r>
        <w:fldChar w:fldCharType="begin"/>
      </w:r>
      <w:r>
        <w:instrText xml:space="preserve"> HYPERLINK \l "_Toc178172276" </w:instrText>
      </w:r>
      <w:r>
        <w:fldChar w:fldCharType="separate"/>
      </w:r>
      <w:r>
        <w:rPr>
          <w:rStyle w:val="34"/>
          <w14:scene3d w14:prst="orthographicFront">
            <w14:lightRig w14:rig="threePt" w14:dir="t">
              <w14:rot w14:lat="0" w14:lon="0" w14:rev="0"/>
            </w14:lightRig>
          </w14:scene3d>
        </w:rPr>
        <w:t xml:space="preserve">5.4 </w:t>
      </w:r>
      <w:r>
        <w:rPr>
          <w:rStyle w:val="34"/>
        </w:rPr>
        <w:t xml:space="preserve"> 总体要求</w:t>
      </w:r>
      <w:r>
        <w:tab/>
      </w:r>
      <w:r>
        <w:fldChar w:fldCharType="begin"/>
      </w:r>
      <w:r>
        <w:instrText xml:space="preserve"> PAGEREF _Toc178172276 \h </w:instrText>
      </w:r>
      <w:r>
        <w:fldChar w:fldCharType="separate"/>
      </w:r>
      <w:r>
        <w:t>4</w:t>
      </w:r>
      <w:r>
        <w:fldChar w:fldCharType="end"/>
      </w:r>
      <w:r>
        <w:fldChar w:fldCharType="end"/>
      </w:r>
    </w:p>
    <w:p w14:paraId="6CFEC424">
      <w:pPr>
        <w:pStyle w:val="25"/>
        <w:rPr>
          <w:rFonts w:asciiTheme="minorHAnsi" w:hAnsiTheme="minorHAnsi" w:eastAsiaTheme="minorEastAsia" w:cstheme="minorBidi"/>
          <w:szCs w:val="22"/>
        </w:rPr>
      </w:pPr>
      <w:r>
        <w:fldChar w:fldCharType="begin"/>
      </w:r>
      <w:r>
        <w:instrText xml:space="preserve"> HYPERLINK \l "_Toc178172277" </w:instrText>
      </w:r>
      <w:r>
        <w:fldChar w:fldCharType="separate"/>
      </w:r>
      <w:r>
        <w:rPr>
          <w:rStyle w:val="34"/>
          <w14:scene3d w14:prst="orthographicFront">
            <w14:lightRig w14:rig="threePt" w14:dir="t">
              <w14:rot w14:lat="0" w14:lon="0" w14:rev="0"/>
            </w14:lightRig>
          </w14:scene3d>
        </w:rPr>
        <w:t xml:space="preserve">5.5 </w:t>
      </w:r>
      <w:r>
        <w:rPr>
          <w:rStyle w:val="34"/>
        </w:rPr>
        <w:t xml:space="preserve"> 工作流程</w:t>
      </w:r>
      <w:r>
        <w:tab/>
      </w:r>
      <w:r>
        <w:fldChar w:fldCharType="begin"/>
      </w:r>
      <w:r>
        <w:instrText xml:space="preserve"> PAGEREF _Toc178172277 \h </w:instrText>
      </w:r>
      <w:r>
        <w:fldChar w:fldCharType="separate"/>
      </w:r>
      <w:r>
        <w:t>5</w:t>
      </w:r>
      <w:r>
        <w:fldChar w:fldCharType="end"/>
      </w:r>
      <w:r>
        <w:fldChar w:fldCharType="end"/>
      </w:r>
    </w:p>
    <w:p w14:paraId="04B7910B">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"_Toc178172278" </w:instrText>
      </w:r>
      <w:r>
        <w:fldChar w:fldCharType="separate"/>
      </w:r>
      <w:r>
        <w:rPr>
          <w:rStyle w:val="34"/>
        </w:rPr>
        <w:t>6  调查评价单元划分</w:t>
      </w:r>
      <w:r>
        <w:tab/>
      </w:r>
      <w:r>
        <w:fldChar w:fldCharType="begin"/>
      </w:r>
      <w:r>
        <w:instrText xml:space="preserve"> PAGEREF _Toc178172278 \h </w:instrText>
      </w:r>
      <w:r>
        <w:fldChar w:fldCharType="separate"/>
      </w:r>
      <w:r>
        <w:t>6</w:t>
      </w:r>
      <w:r>
        <w:fldChar w:fldCharType="end"/>
      </w:r>
      <w:r>
        <w:fldChar w:fldCharType="end"/>
      </w:r>
    </w:p>
    <w:p w14:paraId="1143FF22">
      <w:pPr>
        <w:pStyle w:val="25"/>
        <w:rPr>
          <w:rFonts w:asciiTheme="minorHAnsi" w:hAnsiTheme="minorHAnsi" w:eastAsiaTheme="minorEastAsia" w:cstheme="minorBidi"/>
          <w:szCs w:val="22"/>
        </w:rPr>
      </w:pPr>
      <w:r>
        <w:fldChar w:fldCharType="begin"/>
      </w:r>
      <w:r>
        <w:instrText xml:space="preserve"> HYPERLINK \l "_Toc178172279" </w:instrText>
      </w:r>
      <w:r>
        <w:fldChar w:fldCharType="separate"/>
      </w:r>
      <w:r>
        <w:rPr>
          <w:rStyle w:val="34"/>
          <w14:scene3d w14:prst="orthographicFront">
            <w14:lightRig w14:rig="threePt" w14:dir="t">
              <w14:rot w14:lat="0" w14:lon="0" w14:rev="0"/>
            </w14:lightRig>
          </w14:scene3d>
        </w:rPr>
        <w:t xml:space="preserve">6.1 </w:t>
      </w:r>
      <w:r>
        <w:rPr>
          <w:rStyle w:val="34"/>
        </w:rPr>
        <w:t xml:space="preserve"> 滑坡、崩塌、泥石流单元</w:t>
      </w:r>
      <w:r>
        <w:tab/>
      </w:r>
      <w:r>
        <w:fldChar w:fldCharType="begin"/>
      </w:r>
      <w:r>
        <w:instrText xml:space="preserve"> PAGEREF _Toc178172279 \h </w:instrText>
      </w:r>
      <w:r>
        <w:fldChar w:fldCharType="separate"/>
      </w:r>
      <w:r>
        <w:t>6</w:t>
      </w:r>
      <w:r>
        <w:fldChar w:fldCharType="end"/>
      </w:r>
      <w:r>
        <w:fldChar w:fldCharType="end"/>
      </w:r>
    </w:p>
    <w:p w14:paraId="789F6E4D">
      <w:pPr>
        <w:pStyle w:val="25"/>
        <w:rPr>
          <w:rFonts w:asciiTheme="minorHAnsi" w:hAnsiTheme="minorHAnsi" w:eastAsiaTheme="minorEastAsia" w:cstheme="minorBidi"/>
          <w:szCs w:val="22"/>
        </w:rPr>
      </w:pPr>
      <w:r>
        <w:fldChar w:fldCharType="begin"/>
      </w:r>
      <w:r>
        <w:instrText xml:space="preserve"> HYPERLINK \l "_Toc178172280" </w:instrText>
      </w:r>
      <w:r>
        <w:fldChar w:fldCharType="separate"/>
      </w:r>
      <w:r>
        <w:rPr>
          <w:rStyle w:val="34"/>
          <w14:scene3d w14:prst="orthographicFront">
            <w14:lightRig w14:rig="threePt" w14:dir="t">
              <w14:rot w14:lat="0" w14:lon="0" w14:rev="0"/>
            </w14:lightRig>
          </w14:scene3d>
        </w:rPr>
        <w:t xml:space="preserve">6.2 </w:t>
      </w:r>
      <w:r>
        <w:rPr>
          <w:rStyle w:val="34"/>
        </w:rPr>
        <w:t xml:space="preserve"> 地面塌陷单元</w:t>
      </w:r>
      <w:r>
        <w:tab/>
      </w:r>
      <w:r>
        <w:fldChar w:fldCharType="begin"/>
      </w:r>
      <w:r>
        <w:instrText xml:space="preserve"> PAGEREF _Toc178172280 \h </w:instrText>
      </w:r>
      <w:r>
        <w:fldChar w:fldCharType="separate"/>
      </w:r>
      <w:r>
        <w:t>7</w:t>
      </w:r>
      <w:r>
        <w:fldChar w:fldCharType="end"/>
      </w:r>
      <w:r>
        <w:fldChar w:fldCharType="end"/>
      </w:r>
    </w:p>
    <w:p w14:paraId="17576D98">
      <w:pPr>
        <w:pStyle w:val="25"/>
        <w:rPr>
          <w:rFonts w:asciiTheme="minorHAnsi" w:hAnsiTheme="minorHAnsi" w:eastAsiaTheme="minorEastAsia" w:cstheme="minorBidi"/>
          <w:szCs w:val="22"/>
        </w:rPr>
      </w:pPr>
      <w:r>
        <w:fldChar w:fldCharType="begin"/>
      </w:r>
      <w:r>
        <w:instrText xml:space="preserve"> HYPERLINK \l "_Toc178172281" </w:instrText>
      </w:r>
      <w:r>
        <w:fldChar w:fldCharType="separate"/>
      </w:r>
      <w:r>
        <w:rPr>
          <w:rStyle w:val="34"/>
          <w14:scene3d w14:prst="orthographicFront">
            <w14:lightRig w14:rig="threePt" w14:dir="t">
              <w14:rot w14:lat="0" w14:lon="0" w14:rev="0"/>
            </w14:lightRig>
          </w14:scene3d>
        </w:rPr>
        <w:t xml:space="preserve">6.3 </w:t>
      </w:r>
      <w:r>
        <w:rPr>
          <w:rStyle w:val="34"/>
        </w:rPr>
        <w:t xml:space="preserve"> 地面沉降单元</w:t>
      </w:r>
      <w:r>
        <w:tab/>
      </w:r>
      <w:r>
        <w:fldChar w:fldCharType="begin"/>
      </w:r>
      <w:r>
        <w:instrText xml:space="preserve"> PAGEREF _Toc178172281 \h </w:instrText>
      </w:r>
      <w:r>
        <w:fldChar w:fldCharType="separate"/>
      </w:r>
      <w:r>
        <w:t>7</w:t>
      </w:r>
      <w:r>
        <w:fldChar w:fldCharType="end"/>
      </w:r>
      <w:r>
        <w:fldChar w:fldCharType="end"/>
      </w:r>
    </w:p>
    <w:p w14:paraId="1014302C">
      <w:pPr>
        <w:pStyle w:val="25"/>
        <w:rPr>
          <w:rFonts w:asciiTheme="minorHAnsi" w:hAnsiTheme="minorHAnsi" w:eastAsiaTheme="minorEastAsia" w:cstheme="minorBidi"/>
          <w:szCs w:val="22"/>
        </w:rPr>
      </w:pPr>
      <w:r>
        <w:fldChar w:fldCharType="begin"/>
      </w:r>
      <w:r>
        <w:instrText xml:space="preserve"> HYPERLINK \l "_Toc178172282" </w:instrText>
      </w:r>
      <w:r>
        <w:fldChar w:fldCharType="separate"/>
      </w:r>
      <w:r>
        <w:rPr>
          <w:rStyle w:val="34"/>
          <w14:scene3d w14:prst="orthographicFront">
            <w14:lightRig w14:rig="threePt" w14:dir="t">
              <w14:rot w14:lat="0" w14:lon="0" w14:rev="0"/>
            </w14:lightRig>
          </w14:scene3d>
        </w:rPr>
        <w:t xml:space="preserve">6.4 </w:t>
      </w:r>
      <w:r>
        <w:rPr>
          <w:rStyle w:val="34"/>
        </w:rPr>
        <w:t xml:space="preserve"> 地裂缝单元</w:t>
      </w:r>
      <w:r>
        <w:tab/>
      </w:r>
      <w:r>
        <w:fldChar w:fldCharType="begin"/>
      </w:r>
      <w:r>
        <w:instrText xml:space="preserve"> PAGEREF _Toc178172282 \h </w:instrText>
      </w:r>
      <w:r>
        <w:fldChar w:fldCharType="separate"/>
      </w:r>
      <w:r>
        <w:t>7</w:t>
      </w:r>
      <w:r>
        <w:fldChar w:fldCharType="end"/>
      </w:r>
      <w:r>
        <w:fldChar w:fldCharType="end"/>
      </w:r>
    </w:p>
    <w:p w14:paraId="7188B430">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"_Toc178172283" </w:instrText>
      </w:r>
      <w:r>
        <w:fldChar w:fldCharType="separate"/>
      </w:r>
      <w:r>
        <w:rPr>
          <w:rStyle w:val="34"/>
        </w:rPr>
        <w:t>7  基本调查方法</w:t>
      </w:r>
      <w:r>
        <w:tab/>
      </w:r>
      <w:r>
        <w:fldChar w:fldCharType="begin"/>
      </w:r>
      <w:r>
        <w:instrText xml:space="preserve"> PAGEREF _Toc178172283 \h </w:instrText>
      </w:r>
      <w:r>
        <w:fldChar w:fldCharType="separate"/>
      </w:r>
      <w:r>
        <w:t>7</w:t>
      </w:r>
      <w:r>
        <w:fldChar w:fldCharType="end"/>
      </w:r>
      <w:r>
        <w:fldChar w:fldCharType="end"/>
      </w:r>
    </w:p>
    <w:p w14:paraId="24759C16">
      <w:pPr>
        <w:pStyle w:val="25"/>
        <w:rPr>
          <w:rFonts w:asciiTheme="minorHAnsi" w:hAnsiTheme="minorHAnsi" w:eastAsiaTheme="minorEastAsia" w:cstheme="minorBidi"/>
          <w:szCs w:val="22"/>
        </w:rPr>
      </w:pPr>
      <w:r>
        <w:fldChar w:fldCharType="begin"/>
      </w:r>
      <w:r>
        <w:instrText xml:space="preserve"> HYPERLINK \l "_Toc178172284" </w:instrText>
      </w:r>
      <w:r>
        <w:fldChar w:fldCharType="separate"/>
      </w:r>
      <w:r>
        <w:rPr>
          <w:rStyle w:val="34"/>
          <w14:scene3d w14:prst="orthographicFront">
            <w14:lightRig w14:rig="threePt" w14:dir="t">
              <w14:rot w14:lat="0" w14:lon="0" w14:rev="0"/>
            </w14:lightRig>
          </w14:scene3d>
        </w:rPr>
        <w:t xml:space="preserve">7.1 </w:t>
      </w:r>
      <w:r>
        <w:rPr>
          <w:rStyle w:val="34"/>
        </w:rPr>
        <w:t xml:space="preserve"> 资料收集</w:t>
      </w:r>
      <w:r>
        <w:tab/>
      </w:r>
      <w:r>
        <w:fldChar w:fldCharType="begin"/>
      </w:r>
      <w:r>
        <w:instrText xml:space="preserve"> PAGEREF _Toc178172284 \h </w:instrText>
      </w:r>
      <w:r>
        <w:fldChar w:fldCharType="separate"/>
      </w:r>
      <w:r>
        <w:t>7</w:t>
      </w:r>
      <w:r>
        <w:fldChar w:fldCharType="end"/>
      </w:r>
      <w:r>
        <w:fldChar w:fldCharType="end"/>
      </w:r>
    </w:p>
    <w:p w14:paraId="4EF1BB34">
      <w:pPr>
        <w:pStyle w:val="25"/>
        <w:rPr>
          <w:rFonts w:asciiTheme="minorHAnsi" w:hAnsiTheme="minorHAnsi" w:eastAsiaTheme="minorEastAsia" w:cstheme="minorBidi"/>
          <w:szCs w:val="22"/>
        </w:rPr>
      </w:pPr>
      <w:r>
        <w:fldChar w:fldCharType="begin"/>
      </w:r>
      <w:r>
        <w:instrText xml:space="preserve"> HYPERLINK \l "_Toc178172285" </w:instrText>
      </w:r>
      <w:r>
        <w:fldChar w:fldCharType="separate"/>
      </w:r>
      <w:r>
        <w:rPr>
          <w:rStyle w:val="34"/>
          <w14:scene3d w14:prst="orthographicFront">
            <w14:lightRig w14:rig="threePt" w14:dir="t">
              <w14:rot w14:lat="0" w14:lon="0" w14:rev="0"/>
            </w14:lightRig>
          </w14:scene3d>
        </w:rPr>
        <w:t xml:space="preserve">7.2 </w:t>
      </w:r>
      <w:r>
        <w:rPr>
          <w:rStyle w:val="34"/>
        </w:rPr>
        <w:t xml:space="preserve"> 遥感调查</w:t>
      </w:r>
      <w:r>
        <w:tab/>
      </w:r>
      <w:r>
        <w:fldChar w:fldCharType="begin"/>
      </w:r>
      <w:r>
        <w:instrText xml:space="preserve"> PAGEREF _Toc178172285 \h </w:instrText>
      </w:r>
      <w:r>
        <w:fldChar w:fldCharType="separate"/>
      </w:r>
      <w:r>
        <w:t>7</w:t>
      </w:r>
      <w:r>
        <w:fldChar w:fldCharType="end"/>
      </w:r>
      <w:r>
        <w:fldChar w:fldCharType="end"/>
      </w:r>
    </w:p>
    <w:p w14:paraId="2AA7911C">
      <w:pPr>
        <w:pStyle w:val="25"/>
        <w:rPr>
          <w:rFonts w:asciiTheme="minorHAnsi" w:hAnsiTheme="minorHAnsi" w:eastAsiaTheme="minorEastAsia" w:cstheme="minorBidi"/>
          <w:szCs w:val="22"/>
        </w:rPr>
      </w:pPr>
      <w:r>
        <w:fldChar w:fldCharType="begin"/>
      </w:r>
      <w:r>
        <w:instrText xml:space="preserve"> HYPERLINK \l "_Toc178172286" </w:instrText>
      </w:r>
      <w:r>
        <w:fldChar w:fldCharType="separate"/>
      </w:r>
      <w:r>
        <w:rPr>
          <w:rStyle w:val="34"/>
          <w14:scene3d w14:prst="orthographicFront">
            <w14:lightRig w14:rig="threePt" w14:dir="t">
              <w14:rot w14:lat="0" w14:lon="0" w14:rev="0"/>
            </w14:lightRig>
          </w14:scene3d>
        </w:rPr>
        <w:t xml:space="preserve">7.3 </w:t>
      </w:r>
      <w:r>
        <w:rPr>
          <w:rStyle w:val="34"/>
        </w:rPr>
        <w:t xml:space="preserve"> 地面调查</w:t>
      </w:r>
      <w:r>
        <w:tab/>
      </w:r>
      <w:r>
        <w:fldChar w:fldCharType="begin"/>
      </w:r>
      <w:r>
        <w:instrText xml:space="preserve"> PAGEREF _Toc178172286 \h </w:instrText>
      </w:r>
      <w:r>
        <w:fldChar w:fldCharType="separate"/>
      </w:r>
      <w:r>
        <w:t>8</w:t>
      </w:r>
      <w:r>
        <w:fldChar w:fldCharType="end"/>
      </w:r>
      <w:r>
        <w:fldChar w:fldCharType="end"/>
      </w:r>
    </w:p>
    <w:p w14:paraId="7976A321">
      <w:pPr>
        <w:pStyle w:val="25"/>
        <w:rPr>
          <w:rFonts w:asciiTheme="minorHAnsi" w:hAnsiTheme="minorHAnsi" w:eastAsiaTheme="minorEastAsia" w:cstheme="minorBidi"/>
          <w:szCs w:val="22"/>
        </w:rPr>
      </w:pPr>
      <w:r>
        <w:fldChar w:fldCharType="begin"/>
      </w:r>
      <w:r>
        <w:instrText xml:space="preserve"> HYPERLINK \l "_Toc178172287" </w:instrText>
      </w:r>
      <w:r>
        <w:fldChar w:fldCharType="separate"/>
      </w:r>
      <w:r>
        <w:rPr>
          <w:rStyle w:val="34"/>
          <w14:scene3d w14:prst="orthographicFront">
            <w14:lightRig w14:rig="threePt" w14:dir="t">
              <w14:rot w14:lat="0" w14:lon="0" w14:rev="0"/>
            </w14:lightRig>
          </w14:scene3d>
        </w:rPr>
        <w:t xml:space="preserve">7.4 </w:t>
      </w:r>
      <w:r>
        <w:rPr>
          <w:rStyle w:val="34"/>
        </w:rPr>
        <w:t xml:space="preserve"> 物探</w:t>
      </w:r>
      <w:r>
        <w:tab/>
      </w:r>
      <w:r>
        <w:fldChar w:fldCharType="begin"/>
      </w:r>
      <w:r>
        <w:instrText xml:space="preserve"> PAGEREF _Toc178172287 \h </w:instrText>
      </w:r>
      <w:r>
        <w:fldChar w:fldCharType="separate"/>
      </w:r>
      <w:r>
        <w:t>8</w:t>
      </w:r>
      <w:r>
        <w:fldChar w:fldCharType="end"/>
      </w:r>
      <w:r>
        <w:fldChar w:fldCharType="end"/>
      </w:r>
    </w:p>
    <w:p w14:paraId="575D1F86">
      <w:pPr>
        <w:pStyle w:val="25"/>
        <w:rPr>
          <w:rFonts w:asciiTheme="minorHAnsi" w:hAnsiTheme="minorHAnsi" w:eastAsiaTheme="minorEastAsia" w:cstheme="minorBidi"/>
          <w:szCs w:val="22"/>
        </w:rPr>
      </w:pPr>
      <w:r>
        <w:fldChar w:fldCharType="begin"/>
      </w:r>
      <w:r>
        <w:instrText xml:space="preserve"> HYPERLINK \l "_Toc178172288" </w:instrText>
      </w:r>
      <w:r>
        <w:fldChar w:fldCharType="separate"/>
      </w:r>
      <w:r>
        <w:rPr>
          <w:rStyle w:val="34"/>
          <w14:scene3d w14:prst="orthographicFront">
            <w14:lightRig w14:rig="threePt" w14:dir="t">
              <w14:rot w14:lat="0" w14:lon="0" w14:rev="0"/>
            </w14:lightRig>
          </w14:scene3d>
        </w:rPr>
        <w:t xml:space="preserve">7.5 </w:t>
      </w:r>
      <w:r>
        <w:rPr>
          <w:rStyle w:val="34"/>
        </w:rPr>
        <w:t xml:space="preserve"> 钻探</w:t>
      </w:r>
      <w:r>
        <w:tab/>
      </w:r>
      <w:r>
        <w:fldChar w:fldCharType="begin"/>
      </w:r>
      <w:r>
        <w:instrText xml:space="preserve"> PAGEREF _Toc178172288 \h </w:instrText>
      </w:r>
      <w:r>
        <w:fldChar w:fldCharType="separate"/>
      </w:r>
      <w:r>
        <w:t>9</w:t>
      </w:r>
      <w:r>
        <w:fldChar w:fldCharType="end"/>
      </w:r>
      <w:r>
        <w:fldChar w:fldCharType="end"/>
      </w:r>
    </w:p>
    <w:p w14:paraId="2A8F3F4F">
      <w:pPr>
        <w:pStyle w:val="25"/>
        <w:rPr>
          <w:rFonts w:asciiTheme="minorHAnsi" w:hAnsiTheme="minorHAnsi" w:eastAsiaTheme="minorEastAsia" w:cstheme="minorBidi"/>
          <w:szCs w:val="22"/>
        </w:rPr>
      </w:pPr>
      <w:r>
        <w:fldChar w:fldCharType="begin"/>
      </w:r>
      <w:r>
        <w:instrText xml:space="preserve"> HYPERLINK \l "_Toc178172289" </w:instrText>
      </w:r>
      <w:r>
        <w:fldChar w:fldCharType="separate"/>
      </w:r>
      <w:r>
        <w:rPr>
          <w:rStyle w:val="34"/>
          <w14:scene3d w14:prst="orthographicFront">
            <w14:lightRig w14:rig="threePt" w14:dir="t">
              <w14:rot w14:lat="0" w14:lon="0" w14:rev="0"/>
            </w14:lightRig>
          </w14:scene3d>
        </w:rPr>
        <w:t xml:space="preserve">7.6 </w:t>
      </w:r>
      <w:r>
        <w:rPr>
          <w:rStyle w:val="34"/>
        </w:rPr>
        <w:t xml:space="preserve"> 山地工程</w:t>
      </w:r>
      <w:r>
        <w:tab/>
      </w:r>
      <w:r>
        <w:fldChar w:fldCharType="begin"/>
      </w:r>
      <w:r>
        <w:instrText xml:space="preserve"> PAGEREF _Toc178172289 \h </w:instrText>
      </w:r>
      <w:r>
        <w:fldChar w:fldCharType="separate"/>
      </w:r>
      <w:r>
        <w:t>9</w:t>
      </w:r>
      <w:r>
        <w:fldChar w:fldCharType="end"/>
      </w:r>
      <w:r>
        <w:fldChar w:fldCharType="end"/>
      </w:r>
    </w:p>
    <w:p w14:paraId="547C7531">
      <w:pPr>
        <w:pStyle w:val="25"/>
        <w:rPr>
          <w:rFonts w:asciiTheme="minorHAnsi" w:hAnsiTheme="minorHAnsi" w:eastAsiaTheme="minorEastAsia" w:cstheme="minorBidi"/>
          <w:szCs w:val="22"/>
        </w:rPr>
      </w:pPr>
      <w:r>
        <w:fldChar w:fldCharType="begin"/>
      </w:r>
      <w:r>
        <w:instrText xml:space="preserve"> HYPERLINK \l "_Toc178172290" </w:instrText>
      </w:r>
      <w:r>
        <w:fldChar w:fldCharType="separate"/>
      </w:r>
      <w:r>
        <w:rPr>
          <w:rStyle w:val="34"/>
          <w14:scene3d w14:prst="orthographicFront">
            <w14:lightRig w14:rig="threePt" w14:dir="t">
              <w14:rot w14:lat="0" w14:lon="0" w14:rev="0"/>
            </w14:lightRig>
          </w14:scene3d>
        </w:rPr>
        <w:t xml:space="preserve">7.7 </w:t>
      </w:r>
      <w:r>
        <w:rPr>
          <w:rStyle w:val="34"/>
        </w:rPr>
        <w:t xml:space="preserve"> 测试与试验</w:t>
      </w:r>
      <w:r>
        <w:tab/>
      </w:r>
      <w:r>
        <w:fldChar w:fldCharType="begin"/>
      </w:r>
      <w:r>
        <w:instrText xml:space="preserve"> PAGEREF _Toc178172290 \h </w:instrText>
      </w:r>
      <w:r>
        <w:fldChar w:fldCharType="separate"/>
      </w:r>
      <w:r>
        <w:t>9</w:t>
      </w:r>
      <w:r>
        <w:fldChar w:fldCharType="end"/>
      </w:r>
      <w:r>
        <w:fldChar w:fldCharType="end"/>
      </w:r>
    </w:p>
    <w:p w14:paraId="45A8BB2E">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"_Toc178172291" </w:instrText>
      </w:r>
      <w:r>
        <w:fldChar w:fldCharType="separate"/>
      </w:r>
      <w:r>
        <w:rPr>
          <w:rStyle w:val="34"/>
        </w:rPr>
        <w:t>8  孕灾地质条件调查</w:t>
      </w:r>
      <w:r>
        <w:tab/>
      </w:r>
      <w:r>
        <w:fldChar w:fldCharType="begin"/>
      </w:r>
      <w:r>
        <w:instrText xml:space="preserve"> PAGEREF _Toc178172291 \h </w:instrText>
      </w:r>
      <w:r>
        <w:fldChar w:fldCharType="separate"/>
      </w:r>
      <w:r>
        <w:t>10</w:t>
      </w:r>
      <w:r>
        <w:fldChar w:fldCharType="end"/>
      </w:r>
      <w:r>
        <w:fldChar w:fldCharType="end"/>
      </w:r>
    </w:p>
    <w:p w14:paraId="7521C081">
      <w:pPr>
        <w:pStyle w:val="25"/>
        <w:rPr>
          <w:rFonts w:asciiTheme="minorHAnsi" w:hAnsiTheme="minorHAnsi" w:eastAsiaTheme="minorEastAsia" w:cstheme="minorBidi"/>
          <w:szCs w:val="22"/>
        </w:rPr>
      </w:pPr>
      <w:r>
        <w:fldChar w:fldCharType="begin"/>
      </w:r>
      <w:r>
        <w:instrText xml:space="preserve"> HYPERLINK \l "_Toc178172292" </w:instrText>
      </w:r>
      <w:r>
        <w:fldChar w:fldCharType="separate"/>
      </w:r>
      <w:r>
        <w:rPr>
          <w:rStyle w:val="34"/>
          <w14:scene3d w14:prst="orthographicFront">
            <w14:lightRig w14:rig="threePt" w14:dir="t">
              <w14:rot w14:lat="0" w14:lon="0" w14:rev="0"/>
            </w14:lightRig>
          </w14:scene3d>
        </w:rPr>
        <w:t xml:space="preserve">8.1 </w:t>
      </w:r>
      <w:r>
        <w:rPr>
          <w:rStyle w:val="34"/>
        </w:rPr>
        <w:t xml:space="preserve"> 基本要求</w:t>
      </w:r>
      <w:r>
        <w:tab/>
      </w:r>
      <w:r>
        <w:fldChar w:fldCharType="begin"/>
      </w:r>
      <w:r>
        <w:instrText xml:space="preserve"> PAGEREF _Toc178172292 \h </w:instrText>
      </w:r>
      <w:r>
        <w:fldChar w:fldCharType="separate"/>
      </w:r>
      <w:r>
        <w:t>10</w:t>
      </w:r>
      <w:r>
        <w:fldChar w:fldCharType="end"/>
      </w:r>
      <w:r>
        <w:fldChar w:fldCharType="end"/>
      </w:r>
    </w:p>
    <w:p w14:paraId="2AE30B2D">
      <w:pPr>
        <w:pStyle w:val="25"/>
        <w:rPr>
          <w:rFonts w:asciiTheme="minorHAnsi" w:hAnsiTheme="minorHAnsi" w:eastAsiaTheme="minorEastAsia" w:cstheme="minorBidi"/>
          <w:szCs w:val="22"/>
        </w:rPr>
      </w:pPr>
      <w:r>
        <w:fldChar w:fldCharType="begin"/>
      </w:r>
      <w:r>
        <w:instrText xml:space="preserve"> HYPERLINK \l "_Toc178172293" </w:instrText>
      </w:r>
      <w:r>
        <w:fldChar w:fldCharType="separate"/>
      </w:r>
      <w:r>
        <w:rPr>
          <w:rStyle w:val="34"/>
          <w14:scene3d w14:prst="orthographicFront">
            <w14:lightRig w14:rig="threePt" w14:dir="t">
              <w14:rot w14:lat="0" w14:lon="0" w14:rev="0"/>
            </w14:lightRig>
          </w14:scene3d>
        </w:rPr>
        <w:t xml:space="preserve">8.2 </w:t>
      </w:r>
      <w:r>
        <w:rPr>
          <w:rStyle w:val="34"/>
        </w:rPr>
        <w:t xml:space="preserve"> 地形地貌调查</w:t>
      </w:r>
      <w:r>
        <w:tab/>
      </w:r>
      <w:r>
        <w:fldChar w:fldCharType="begin"/>
      </w:r>
      <w:r>
        <w:instrText xml:space="preserve"> PAGEREF _Toc178172293 \h </w:instrText>
      </w:r>
      <w:r>
        <w:fldChar w:fldCharType="separate"/>
      </w:r>
      <w:r>
        <w:t>10</w:t>
      </w:r>
      <w:r>
        <w:fldChar w:fldCharType="end"/>
      </w:r>
      <w:r>
        <w:fldChar w:fldCharType="end"/>
      </w:r>
    </w:p>
    <w:p w14:paraId="63308FFE">
      <w:pPr>
        <w:pStyle w:val="25"/>
        <w:rPr>
          <w:rFonts w:asciiTheme="minorHAnsi" w:hAnsiTheme="minorHAnsi" w:eastAsiaTheme="minorEastAsia" w:cstheme="minorBidi"/>
          <w:szCs w:val="22"/>
        </w:rPr>
      </w:pPr>
      <w:r>
        <w:fldChar w:fldCharType="begin"/>
      </w:r>
      <w:r>
        <w:instrText xml:space="preserve"> HYPERLINK \l "_Toc178172294" </w:instrText>
      </w:r>
      <w:r>
        <w:fldChar w:fldCharType="separate"/>
      </w:r>
      <w:r>
        <w:rPr>
          <w:rStyle w:val="34"/>
          <w14:scene3d w14:prst="orthographicFront">
            <w14:lightRig w14:rig="threePt" w14:dir="t">
              <w14:rot w14:lat="0" w14:lon="0" w14:rev="0"/>
            </w14:lightRig>
          </w14:scene3d>
        </w:rPr>
        <w:t xml:space="preserve">8.3 </w:t>
      </w:r>
      <w:r>
        <w:rPr>
          <w:rStyle w:val="34"/>
        </w:rPr>
        <w:t xml:space="preserve"> 地质构造调查</w:t>
      </w:r>
      <w:r>
        <w:tab/>
      </w:r>
      <w:r>
        <w:fldChar w:fldCharType="begin"/>
      </w:r>
      <w:r>
        <w:instrText xml:space="preserve"> PAGEREF _Toc178172294 \h </w:instrText>
      </w:r>
      <w:r>
        <w:fldChar w:fldCharType="separate"/>
      </w:r>
      <w:r>
        <w:t>10</w:t>
      </w:r>
      <w:r>
        <w:fldChar w:fldCharType="end"/>
      </w:r>
      <w:r>
        <w:fldChar w:fldCharType="end"/>
      </w:r>
    </w:p>
    <w:p w14:paraId="5910EA86">
      <w:pPr>
        <w:pStyle w:val="25"/>
        <w:rPr>
          <w:rFonts w:asciiTheme="minorHAnsi" w:hAnsiTheme="minorHAnsi" w:eastAsiaTheme="minorEastAsia" w:cstheme="minorBidi"/>
          <w:szCs w:val="22"/>
        </w:rPr>
      </w:pPr>
      <w:r>
        <w:fldChar w:fldCharType="begin"/>
      </w:r>
      <w:r>
        <w:instrText xml:space="preserve"> HYPERLINK \l "_Toc178172295" </w:instrText>
      </w:r>
      <w:r>
        <w:fldChar w:fldCharType="separate"/>
      </w:r>
      <w:r>
        <w:rPr>
          <w:rStyle w:val="34"/>
          <w14:scene3d w14:prst="orthographicFront">
            <w14:lightRig w14:rig="threePt" w14:dir="t">
              <w14:rot w14:lat="0" w14:lon="0" w14:rev="0"/>
            </w14:lightRig>
          </w14:scene3d>
        </w:rPr>
        <w:t xml:space="preserve">8.4 </w:t>
      </w:r>
      <w:r>
        <w:rPr>
          <w:rStyle w:val="34"/>
        </w:rPr>
        <w:t xml:space="preserve"> 岩土体工程地质调查</w:t>
      </w:r>
      <w:r>
        <w:tab/>
      </w:r>
      <w:r>
        <w:fldChar w:fldCharType="begin"/>
      </w:r>
      <w:r>
        <w:instrText xml:space="preserve"> PAGEREF _Toc178172295 \h </w:instrText>
      </w:r>
      <w:r>
        <w:fldChar w:fldCharType="separate"/>
      </w:r>
      <w:r>
        <w:t>10</w:t>
      </w:r>
      <w:r>
        <w:fldChar w:fldCharType="end"/>
      </w:r>
      <w:r>
        <w:fldChar w:fldCharType="end"/>
      </w:r>
    </w:p>
    <w:p w14:paraId="7901FC0E">
      <w:pPr>
        <w:pStyle w:val="25"/>
        <w:rPr>
          <w:rFonts w:asciiTheme="minorHAnsi" w:hAnsiTheme="minorHAnsi" w:eastAsiaTheme="minorEastAsia" w:cstheme="minorBidi"/>
          <w:szCs w:val="22"/>
        </w:rPr>
      </w:pPr>
      <w:r>
        <w:fldChar w:fldCharType="begin"/>
      </w:r>
      <w:r>
        <w:instrText xml:space="preserve"> HYPERLINK \l "_Toc178172296" </w:instrText>
      </w:r>
      <w:r>
        <w:fldChar w:fldCharType="separate"/>
      </w:r>
      <w:r>
        <w:rPr>
          <w:rStyle w:val="34"/>
          <w14:scene3d w14:prst="orthographicFront">
            <w14:lightRig w14:rig="threePt" w14:dir="t">
              <w14:rot w14:lat="0" w14:lon="0" w14:rev="0"/>
            </w14:lightRig>
          </w14:scene3d>
        </w:rPr>
        <w:t xml:space="preserve">8.5 </w:t>
      </w:r>
      <w:r>
        <w:rPr>
          <w:rStyle w:val="34"/>
        </w:rPr>
        <w:t xml:space="preserve"> 斜坡结构调查</w:t>
      </w:r>
      <w:r>
        <w:tab/>
      </w:r>
      <w:r>
        <w:fldChar w:fldCharType="begin"/>
      </w:r>
      <w:r>
        <w:instrText xml:space="preserve"> PAGEREF _Toc178172296 \h </w:instrText>
      </w:r>
      <w:r>
        <w:fldChar w:fldCharType="separate"/>
      </w:r>
      <w:r>
        <w:t>11</w:t>
      </w:r>
      <w:r>
        <w:fldChar w:fldCharType="end"/>
      </w:r>
      <w:r>
        <w:fldChar w:fldCharType="end"/>
      </w:r>
    </w:p>
    <w:p w14:paraId="5C2F9C12">
      <w:pPr>
        <w:pStyle w:val="25"/>
        <w:rPr>
          <w:rFonts w:asciiTheme="minorHAnsi" w:hAnsiTheme="minorHAnsi" w:eastAsiaTheme="minorEastAsia" w:cstheme="minorBidi"/>
          <w:szCs w:val="22"/>
        </w:rPr>
      </w:pPr>
      <w:r>
        <w:fldChar w:fldCharType="begin"/>
      </w:r>
      <w:r>
        <w:instrText xml:space="preserve"> HYPERLINK \l "_Toc178172297" </w:instrText>
      </w:r>
      <w:r>
        <w:fldChar w:fldCharType="separate"/>
      </w:r>
      <w:r>
        <w:rPr>
          <w:rStyle w:val="34"/>
          <w14:scene3d w14:prst="orthographicFront">
            <w14:lightRig w14:rig="threePt" w14:dir="t">
              <w14:rot w14:lat="0" w14:lon="0" w14:rev="0"/>
            </w14:lightRig>
          </w14:scene3d>
        </w:rPr>
        <w:t xml:space="preserve">8.6 </w:t>
      </w:r>
      <w:r>
        <w:rPr>
          <w:rStyle w:val="34"/>
        </w:rPr>
        <w:t xml:space="preserve"> 地表水与地下水调查</w:t>
      </w:r>
      <w:r>
        <w:tab/>
      </w:r>
      <w:r>
        <w:fldChar w:fldCharType="begin"/>
      </w:r>
      <w:r>
        <w:instrText xml:space="preserve"> PAGEREF _Toc178172297 \h </w:instrText>
      </w:r>
      <w:r>
        <w:fldChar w:fldCharType="separate"/>
      </w:r>
      <w:r>
        <w:t>11</w:t>
      </w:r>
      <w:r>
        <w:fldChar w:fldCharType="end"/>
      </w:r>
      <w:r>
        <w:fldChar w:fldCharType="end"/>
      </w:r>
    </w:p>
    <w:p w14:paraId="29834977">
      <w:pPr>
        <w:pStyle w:val="25"/>
        <w:rPr>
          <w:rFonts w:asciiTheme="minorHAnsi" w:hAnsiTheme="minorHAnsi" w:eastAsiaTheme="minorEastAsia" w:cstheme="minorBidi"/>
          <w:szCs w:val="22"/>
        </w:rPr>
      </w:pPr>
      <w:r>
        <w:fldChar w:fldCharType="begin"/>
      </w:r>
      <w:r>
        <w:instrText xml:space="preserve"> HYPERLINK \l "_Toc178172298" </w:instrText>
      </w:r>
      <w:r>
        <w:fldChar w:fldCharType="separate"/>
      </w:r>
      <w:r>
        <w:rPr>
          <w:rStyle w:val="34"/>
          <w14:scene3d w14:prst="orthographicFront">
            <w14:lightRig w14:rig="threePt" w14:dir="t">
              <w14:rot w14:lat="0" w14:lon="0" w14:rev="0"/>
            </w14:lightRig>
          </w14:scene3d>
        </w:rPr>
        <w:t xml:space="preserve">8.7 </w:t>
      </w:r>
      <w:r>
        <w:rPr>
          <w:rStyle w:val="34"/>
        </w:rPr>
        <w:t xml:space="preserve"> 气候、植被与土地利用状况调查</w:t>
      </w:r>
      <w:r>
        <w:tab/>
      </w:r>
      <w:r>
        <w:fldChar w:fldCharType="begin"/>
      </w:r>
      <w:r>
        <w:instrText xml:space="preserve"> PAGEREF _Toc178172298 \h </w:instrText>
      </w:r>
      <w:r>
        <w:fldChar w:fldCharType="separate"/>
      </w:r>
      <w:r>
        <w:t>11</w:t>
      </w:r>
      <w:r>
        <w:fldChar w:fldCharType="end"/>
      </w:r>
      <w:r>
        <w:fldChar w:fldCharType="end"/>
      </w:r>
    </w:p>
    <w:p w14:paraId="2CA6156D">
      <w:pPr>
        <w:pStyle w:val="25"/>
        <w:rPr>
          <w:rFonts w:asciiTheme="minorHAnsi" w:hAnsiTheme="minorHAnsi" w:eastAsiaTheme="minorEastAsia" w:cstheme="minorBidi"/>
          <w:szCs w:val="22"/>
        </w:rPr>
      </w:pPr>
      <w:r>
        <w:fldChar w:fldCharType="begin"/>
      </w:r>
      <w:r>
        <w:instrText xml:space="preserve"> HYPERLINK \l "_Toc178172299" </w:instrText>
      </w:r>
      <w:r>
        <w:fldChar w:fldCharType="separate"/>
      </w:r>
      <w:r>
        <w:rPr>
          <w:rStyle w:val="34"/>
          <w14:scene3d w14:prst="orthographicFront">
            <w14:lightRig w14:rig="threePt" w14:dir="t">
              <w14:rot w14:lat="0" w14:lon="0" w14:rev="0"/>
            </w14:lightRig>
          </w14:scene3d>
        </w:rPr>
        <w:t xml:space="preserve">8.8 </w:t>
      </w:r>
      <w:r>
        <w:rPr>
          <w:rStyle w:val="34"/>
        </w:rPr>
        <w:t xml:space="preserve"> 人类工程活动调查</w:t>
      </w:r>
      <w:r>
        <w:tab/>
      </w:r>
      <w:r>
        <w:fldChar w:fldCharType="begin"/>
      </w:r>
      <w:r>
        <w:instrText xml:space="preserve"> PAGEREF _Toc178172299 \h </w:instrText>
      </w:r>
      <w:r>
        <w:fldChar w:fldCharType="separate"/>
      </w:r>
      <w:r>
        <w:t>11</w:t>
      </w:r>
      <w:r>
        <w:fldChar w:fldCharType="end"/>
      </w:r>
      <w:r>
        <w:fldChar w:fldCharType="end"/>
      </w:r>
    </w:p>
    <w:p w14:paraId="7A90BD1A">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"_Toc178172300" </w:instrText>
      </w:r>
      <w:r>
        <w:fldChar w:fldCharType="separate"/>
      </w:r>
      <w:r>
        <w:rPr>
          <w:rStyle w:val="34"/>
        </w:rPr>
        <w:t>9  地质灾害及隐患调查</w:t>
      </w:r>
      <w:r>
        <w:tab/>
      </w:r>
      <w:r>
        <w:fldChar w:fldCharType="begin"/>
      </w:r>
      <w:r>
        <w:instrText xml:space="preserve"> PAGEREF _Toc178172300 \h </w:instrText>
      </w:r>
      <w:r>
        <w:fldChar w:fldCharType="separate"/>
      </w:r>
      <w:r>
        <w:t>12</w:t>
      </w:r>
      <w:r>
        <w:fldChar w:fldCharType="end"/>
      </w:r>
      <w:r>
        <w:fldChar w:fldCharType="end"/>
      </w:r>
    </w:p>
    <w:p w14:paraId="1DB38BBA">
      <w:pPr>
        <w:pStyle w:val="25"/>
        <w:rPr>
          <w:rFonts w:asciiTheme="minorHAnsi" w:hAnsiTheme="minorHAnsi" w:eastAsiaTheme="minorEastAsia" w:cstheme="minorBidi"/>
          <w:szCs w:val="22"/>
        </w:rPr>
      </w:pPr>
      <w:r>
        <w:fldChar w:fldCharType="begin"/>
      </w:r>
      <w:r>
        <w:instrText xml:space="preserve"> HYPERLINK \l "_Toc178172301" </w:instrText>
      </w:r>
      <w:r>
        <w:fldChar w:fldCharType="separate"/>
      </w:r>
      <w:r>
        <w:rPr>
          <w:rStyle w:val="34"/>
          <w14:scene3d w14:prst="orthographicFront">
            <w14:lightRig w14:rig="threePt" w14:dir="t">
              <w14:rot w14:lat="0" w14:lon="0" w14:rev="0"/>
            </w14:lightRig>
          </w14:scene3d>
        </w:rPr>
        <w:t xml:space="preserve">9.1 </w:t>
      </w:r>
      <w:r>
        <w:rPr>
          <w:rStyle w:val="34"/>
        </w:rPr>
        <w:t xml:space="preserve"> 基本要求</w:t>
      </w:r>
      <w:r>
        <w:tab/>
      </w:r>
      <w:r>
        <w:fldChar w:fldCharType="begin"/>
      </w:r>
      <w:r>
        <w:instrText xml:space="preserve"> PAGEREF _Toc178172301 \h </w:instrText>
      </w:r>
      <w:r>
        <w:fldChar w:fldCharType="separate"/>
      </w:r>
      <w:r>
        <w:t>12</w:t>
      </w:r>
      <w:r>
        <w:fldChar w:fldCharType="end"/>
      </w:r>
      <w:r>
        <w:fldChar w:fldCharType="end"/>
      </w:r>
    </w:p>
    <w:p w14:paraId="0C042D06">
      <w:pPr>
        <w:pStyle w:val="25"/>
        <w:rPr>
          <w:rFonts w:asciiTheme="minorHAnsi" w:hAnsiTheme="minorHAnsi" w:eastAsiaTheme="minorEastAsia" w:cstheme="minorBidi"/>
          <w:szCs w:val="22"/>
        </w:rPr>
      </w:pPr>
      <w:r>
        <w:fldChar w:fldCharType="begin"/>
      </w:r>
      <w:r>
        <w:instrText xml:space="preserve"> HYPERLINK \l "_Toc178172302" </w:instrText>
      </w:r>
      <w:r>
        <w:fldChar w:fldCharType="separate"/>
      </w:r>
      <w:r>
        <w:rPr>
          <w:rStyle w:val="34"/>
          <w14:scene3d w14:prst="orthographicFront">
            <w14:lightRig w14:rig="threePt" w14:dir="t">
              <w14:rot w14:lat="0" w14:lon="0" w14:rev="0"/>
            </w14:lightRig>
          </w14:scene3d>
        </w:rPr>
        <w:t xml:space="preserve">9.2 </w:t>
      </w:r>
      <w:r>
        <w:rPr>
          <w:rStyle w:val="34"/>
        </w:rPr>
        <w:t xml:space="preserve"> 滑坡及隐患调查</w:t>
      </w:r>
      <w:r>
        <w:tab/>
      </w:r>
      <w:r>
        <w:fldChar w:fldCharType="begin"/>
      </w:r>
      <w:r>
        <w:instrText xml:space="preserve"> PAGEREF _Toc178172302 \h </w:instrText>
      </w:r>
      <w:r>
        <w:fldChar w:fldCharType="separate"/>
      </w:r>
      <w:r>
        <w:t>12</w:t>
      </w:r>
      <w:r>
        <w:fldChar w:fldCharType="end"/>
      </w:r>
      <w:r>
        <w:fldChar w:fldCharType="end"/>
      </w:r>
    </w:p>
    <w:p w14:paraId="173FF97A">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"_Toc178172303" </w:instrText>
      </w:r>
      <w:r>
        <w:fldChar w:fldCharType="separate"/>
      </w:r>
      <w:r>
        <w:rPr>
          <w:rStyle w:val="34"/>
        </w:rPr>
        <w:t>9.2.1  一般要求</w:t>
      </w:r>
      <w:r>
        <w:tab/>
      </w:r>
      <w:r>
        <w:fldChar w:fldCharType="begin"/>
      </w:r>
      <w:r>
        <w:instrText xml:space="preserve"> PAGEREF _Toc178172303 \h </w:instrText>
      </w:r>
      <w:r>
        <w:fldChar w:fldCharType="separate"/>
      </w:r>
      <w:r>
        <w:t>12</w:t>
      </w:r>
      <w:r>
        <w:fldChar w:fldCharType="end"/>
      </w:r>
      <w:r>
        <w:fldChar w:fldCharType="end"/>
      </w:r>
    </w:p>
    <w:p w14:paraId="0C527CF0">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"_Toc178172304" </w:instrText>
      </w:r>
      <w:r>
        <w:fldChar w:fldCharType="separate"/>
      </w:r>
      <w:r>
        <w:rPr>
          <w:rStyle w:val="34"/>
        </w:rPr>
        <w:t>9.2.2  调查</w:t>
      </w:r>
      <w:r>
        <w:tab/>
      </w:r>
      <w:r>
        <w:fldChar w:fldCharType="begin"/>
      </w:r>
      <w:r>
        <w:instrText xml:space="preserve"> PAGEREF _Toc178172304 \h </w:instrText>
      </w:r>
      <w:r>
        <w:fldChar w:fldCharType="separate"/>
      </w:r>
      <w:r>
        <w:t>12</w:t>
      </w:r>
      <w:r>
        <w:fldChar w:fldCharType="end"/>
      </w:r>
      <w:r>
        <w:fldChar w:fldCharType="end"/>
      </w:r>
    </w:p>
    <w:p w14:paraId="538FBED4">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"_Toc178172305" </w:instrText>
      </w:r>
      <w:r>
        <w:fldChar w:fldCharType="separate"/>
      </w:r>
      <w:r>
        <w:rPr>
          <w:rStyle w:val="34"/>
        </w:rPr>
        <w:t>9.2.3  测绘</w:t>
      </w:r>
      <w:r>
        <w:tab/>
      </w:r>
      <w:r>
        <w:fldChar w:fldCharType="begin"/>
      </w:r>
      <w:r>
        <w:instrText xml:space="preserve"> PAGEREF _Toc178172305 \h </w:instrText>
      </w:r>
      <w:r>
        <w:fldChar w:fldCharType="separate"/>
      </w:r>
      <w:r>
        <w:t>12</w:t>
      </w:r>
      <w:r>
        <w:fldChar w:fldCharType="end"/>
      </w:r>
      <w:r>
        <w:fldChar w:fldCharType="end"/>
      </w:r>
    </w:p>
    <w:p w14:paraId="4C98BB55">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"_Toc178172306" </w:instrText>
      </w:r>
      <w:r>
        <w:fldChar w:fldCharType="separate"/>
      </w:r>
      <w:r>
        <w:rPr>
          <w:rStyle w:val="34"/>
        </w:rPr>
        <w:t>9.2.4  勘查</w:t>
      </w:r>
      <w:r>
        <w:tab/>
      </w:r>
      <w:r>
        <w:fldChar w:fldCharType="begin"/>
      </w:r>
      <w:r>
        <w:instrText xml:space="preserve"> PAGEREF _Toc178172306 \h </w:instrText>
      </w:r>
      <w:r>
        <w:fldChar w:fldCharType="separate"/>
      </w:r>
      <w:r>
        <w:t>12</w:t>
      </w:r>
      <w:r>
        <w:fldChar w:fldCharType="end"/>
      </w:r>
      <w:r>
        <w:fldChar w:fldCharType="end"/>
      </w:r>
    </w:p>
    <w:p w14:paraId="1A57906F">
      <w:pPr>
        <w:pStyle w:val="25"/>
        <w:rPr>
          <w:rFonts w:asciiTheme="minorHAnsi" w:hAnsiTheme="minorHAnsi" w:eastAsiaTheme="minorEastAsia" w:cstheme="minorBidi"/>
          <w:szCs w:val="22"/>
        </w:rPr>
      </w:pPr>
      <w:r>
        <w:fldChar w:fldCharType="begin"/>
      </w:r>
      <w:r>
        <w:instrText xml:space="preserve"> HYPERLINK \l "_Toc178172307" </w:instrText>
      </w:r>
      <w:r>
        <w:fldChar w:fldCharType="separate"/>
      </w:r>
      <w:r>
        <w:rPr>
          <w:rStyle w:val="34"/>
          <w14:scene3d w14:prst="orthographicFront">
            <w14:lightRig w14:rig="threePt" w14:dir="t">
              <w14:rot w14:lat="0" w14:lon="0" w14:rev="0"/>
            </w14:lightRig>
          </w14:scene3d>
        </w:rPr>
        <w:t xml:space="preserve">9.3 </w:t>
      </w:r>
      <w:r>
        <w:rPr>
          <w:rStyle w:val="34"/>
        </w:rPr>
        <w:t xml:space="preserve"> 崩塌及隐患调查</w:t>
      </w:r>
      <w:r>
        <w:tab/>
      </w:r>
      <w:r>
        <w:fldChar w:fldCharType="begin"/>
      </w:r>
      <w:r>
        <w:instrText xml:space="preserve"> PAGEREF _Toc178172307 \h </w:instrText>
      </w:r>
      <w:r>
        <w:fldChar w:fldCharType="separate"/>
      </w:r>
      <w:r>
        <w:t>13</w:t>
      </w:r>
      <w:r>
        <w:fldChar w:fldCharType="end"/>
      </w:r>
      <w:r>
        <w:fldChar w:fldCharType="end"/>
      </w:r>
    </w:p>
    <w:p w14:paraId="2C4CC30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"_Toc178172308" </w:instrText>
      </w:r>
      <w:r>
        <w:fldChar w:fldCharType="separate"/>
      </w:r>
      <w:r>
        <w:rPr>
          <w:rStyle w:val="34"/>
        </w:rPr>
        <w:t>9.3.1  一般要求</w:t>
      </w:r>
      <w:r>
        <w:tab/>
      </w:r>
      <w:r>
        <w:fldChar w:fldCharType="begin"/>
      </w:r>
      <w:r>
        <w:instrText xml:space="preserve"> PAGEREF _Toc178172308 \h </w:instrText>
      </w:r>
      <w:r>
        <w:fldChar w:fldCharType="separate"/>
      </w:r>
      <w:r>
        <w:t>13</w:t>
      </w:r>
      <w:r>
        <w:fldChar w:fldCharType="end"/>
      </w:r>
      <w:r>
        <w:fldChar w:fldCharType="end"/>
      </w:r>
    </w:p>
    <w:p w14:paraId="17E288B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"_Toc178172309" </w:instrText>
      </w:r>
      <w:r>
        <w:fldChar w:fldCharType="separate"/>
      </w:r>
      <w:r>
        <w:rPr>
          <w:rStyle w:val="34"/>
        </w:rPr>
        <w:t>9.3.2  调查</w:t>
      </w:r>
      <w:r>
        <w:tab/>
      </w:r>
      <w:r>
        <w:fldChar w:fldCharType="begin"/>
      </w:r>
      <w:r>
        <w:instrText xml:space="preserve"> PAGEREF _Toc178172309 \h </w:instrText>
      </w:r>
      <w:r>
        <w:fldChar w:fldCharType="separate"/>
      </w:r>
      <w:r>
        <w:t>13</w:t>
      </w:r>
      <w:r>
        <w:fldChar w:fldCharType="end"/>
      </w:r>
      <w:r>
        <w:fldChar w:fldCharType="end"/>
      </w:r>
    </w:p>
    <w:p w14:paraId="68A36530">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"_Toc178172310" </w:instrText>
      </w:r>
      <w:r>
        <w:fldChar w:fldCharType="separate"/>
      </w:r>
      <w:r>
        <w:rPr>
          <w:rStyle w:val="34"/>
        </w:rPr>
        <w:t>9.3.3  测绘</w:t>
      </w:r>
      <w:r>
        <w:tab/>
      </w:r>
      <w:r>
        <w:fldChar w:fldCharType="begin"/>
      </w:r>
      <w:r>
        <w:instrText xml:space="preserve"> PAGEREF _Toc178172310 \h </w:instrText>
      </w:r>
      <w:r>
        <w:fldChar w:fldCharType="separate"/>
      </w:r>
      <w:r>
        <w:t>13</w:t>
      </w:r>
      <w:r>
        <w:fldChar w:fldCharType="end"/>
      </w:r>
      <w:r>
        <w:fldChar w:fldCharType="end"/>
      </w:r>
    </w:p>
    <w:p w14:paraId="5F6DCFAE">
      <w:pPr>
        <w:pStyle w:val="25"/>
        <w:rPr>
          <w:rFonts w:asciiTheme="minorHAnsi" w:hAnsiTheme="minorHAnsi" w:eastAsiaTheme="minorEastAsia" w:cstheme="minorBidi"/>
          <w:szCs w:val="22"/>
        </w:rPr>
      </w:pPr>
      <w:r>
        <w:fldChar w:fldCharType="begin"/>
      </w:r>
      <w:r>
        <w:instrText xml:space="preserve"> HYPERLINK \l "_Toc178172311" </w:instrText>
      </w:r>
      <w:r>
        <w:fldChar w:fldCharType="separate"/>
      </w:r>
      <w:r>
        <w:rPr>
          <w:rStyle w:val="34"/>
          <w14:scene3d w14:prst="orthographicFront">
            <w14:lightRig w14:rig="threePt" w14:dir="t">
              <w14:rot w14:lat="0" w14:lon="0" w14:rev="0"/>
            </w14:lightRig>
          </w14:scene3d>
        </w:rPr>
        <w:t xml:space="preserve">9.4 </w:t>
      </w:r>
      <w:r>
        <w:rPr>
          <w:rStyle w:val="34"/>
        </w:rPr>
        <w:t xml:space="preserve"> 泥石流及隐患调查</w:t>
      </w:r>
      <w:r>
        <w:tab/>
      </w:r>
      <w:r>
        <w:fldChar w:fldCharType="begin"/>
      </w:r>
      <w:r>
        <w:instrText xml:space="preserve"> PAGEREF _Toc178172311 \h </w:instrText>
      </w:r>
      <w:r>
        <w:fldChar w:fldCharType="separate"/>
      </w:r>
      <w:r>
        <w:t>13</w:t>
      </w:r>
      <w:r>
        <w:fldChar w:fldCharType="end"/>
      </w:r>
      <w:r>
        <w:fldChar w:fldCharType="end"/>
      </w:r>
    </w:p>
    <w:p w14:paraId="12C53FF9">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"_Toc178172312" </w:instrText>
      </w:r>
      <w:r>
        <w:fldChar w:fldCharType="separate"/>
      </w:r>
      <w:r>
        <w:rPr>
          <w:rStyle w:val="34"/>
        </w:rPr>
        <w:t>9.4.1  一般要求</w:t>
      </w:r>
      <w:r>
        <w:tab/>
      </w:r>
      <w:r>
        <w:fldChar w:fldCharType="begin"/>
      </w:r>
      <w:r>
        <w:instrText xml:space="preserve"> PAGEREF _Toc178172312 \h </w:instrText>
      </w:r>
      <w:r>
        <w:fldChar w:fldCharType="separate"/>
      </w:r>
      <w:r>
        <w:t>13</w:t>
      </w:r>
      <w:r>
        <w:fldChar w:fldCharType="end"/>
      </w:r>
      <w:r>
        <w:fldChar w:fldCharType="end"/>
      </w:r>
    </w:p>
    <w:p w14:paraId="3433ED4D">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"_Toc178172313" </w:instrText>
      </w:r>
      <w:r>
        <w:fldChar w:fldCharType="separate"/>
      </w:r>
      <w:r>
        <w:rPr>
          <w:rStyle w:val="34"/>
        </w:rPr>
        <w:t>9.4.2  调查</w:t>
      </w:r>
      <w:r>
        <w:tab/>
      </w:r>
      <w:r>
        <w:fldChar w:fldCharType="begin"/>
      </w:r>
      <w:r>
        <w:instrText xml:space="preserve"> PAGEREF _Toc178172313 \h </w:instrText>
      </w:r>
      <w:r>
        <w:fldChar w:fldCharType="separate"/>
      </w:r>
      <w:r>
        <w:t>13</w:t>
      </w:r>
      <w:r>
        <w:fldChar w:fldCharType="end"/>
      </w:r>
      <w:r>
        <w:fldChar w:fldCharType="end"/>
      </w:r>
    </w:p>
    <w:p w14:paraId="47238581">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"_Toc178172314" </w:instrText>
      </w:r>
      <w:r>
        <w:fldChar w:fldCharType="separate"/>
      </w:r>
      <w:r>
        <w:rPr>
          <w:rStyle w:val="34"/>
        </w:rPr>
        <w:t>9.4.3  测绘</w:t>
      </w:r>
      <w:r>
        <w:tab/>
      </w:r>
      <w:r>
        <w:fldChar w:fldCharType="begin"/>
      </w:r>
      <w:r>
        <w:instrText xml:space="preserve"> PAGEREF _Toc178172314 \h </w:instrText>
      </w:r>
      <w:r>
        <w:fldChar w:fldCharType="separate"/>
      </w:r>
      <w:r>
        <w:t>13</w:t>
      </w:r>
      <w:r>
        <w:fldChar w:fldCharType="end"/>
      </w:r>
      <w:r>
        <w:fldChar w:fldCharType="end"/>
      </w:r>
    </w:p>
    <w:p w14:paraId="38C57A3C">
      <w:pPr>
        <w:pStyle w:val="25"/>
        <w:rPr>
          <w:rFonts w:asciiTheme="minorHAnsi" w:hAnsiTheme="minorHAnsi" w:eastAsiaTheme="minorEastAsia" w:cstheme="minorBidi"/>
          <w:szCs w:val="22"/>
        </w:rPr>
      </w:pPr>
      <w:r>
        <w:fldChar w:fldCharType="begin"/>
      </w:r>
      <w:r>
        <w:instrText xml:space="preserve"> HYPERLINK \l "_Toc178172315" </w:instrText>
      </w:r>
      <w:r>
        <w:fldChar w:fldCharType="separate"/>
      </w:r>
      <w:r>
        <w:rPr>
          <w:rStyle w:val="34"/>
          <w14:scene3d w14:prst="orthographicFront">
            <w14:lightRig w14:rig="threePt" w14:dir="t">
              <w14:rot w14:lat="0" w14:lon="0" w14:rev="0"/>
            </w14:lightRig>
          </w14:scene3d>
        </w:rPr>
        <w:t xml:space="preserve">9.5 </w:t>
      </w:r>
      <w:r>
        <w:rPr>
          <w:rStyle w:val="34"/>
        </w:rPr>
        <w:t xml:space="preserve"> 地面塌陷调查</w:t>
      </w:r>
      <w:r>
        <w:tab/>
      </w:r>
      <w:r>
        <w:fldChar w:fldCharType="begin"/>
      </w:r>
      <w:r>
        <w:instrText xml:space="preserve"> PAGEREF _Toc178172315 \h </w:instrText>
      </w:r>
      <w:r>
        <w:fldChar w:fldCharType="separate"/>
      </w:r>
      <w:r>
        <w:t>14</w:t>
      </w:r>
      <w:r>
        <w:fldChar w:fldCharType="end"/>
      </w:r>
      <w:r>
        <w:fldChar w:fldCharType="end"/>
      </w:r>
    </w:p>
    <w:p w14:paraId="0AEF1782">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"_Toc178172316" </w:instrText>
      </w:r>
      <w:r>
        <w:fldChar w:fldCharType="separate"/>
      </w:r>
      <w:r>
        <w:rPr>
          <w:rStyle w:val="34"/>
        </w:rPr>
        <w:t>9.5.1  一般要求</w:t>
      </w:r>
      <w:r>
        <w:tab/>
      </w:r>
      <w:r>
        <w:fldChar w:fldCharType="begin"/>
      </w:r>
      <w:r>
        <w:instrText xml:space="preserve"> PAGEREF _Toc178172316 \h </w:instrText>
      </w:r>
      <w:r>
        <w:fldChar w:fldCharType="separate"/>
      </w:r>
      <w:r>
        <w:t>14</w:t>
      </w:r>
      <w:r>
        <w:fldChar w:fldCharType="end"/>
      </w:r>
      <w:r>
        <w:fldChar w:fldCharType="end"/>
      </w:r>
    </w:p>
    <w:p w14:paraId="11658330">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"_Toc178172317" </w:instrText>
      </w:r>
      <w:r>
        <w:fldChar w:fldCharType="separate"/>
      </w:r>
      <w:r>
        <w:rPr>
          <w:rStyle w:val="34"/>
        </w:rPr>
        <w:t>9.5.2  调查</w:t>
      </w:r>
      <w:r>
        <w:tab/>
      </w:r>
      <w:r>
        <w:fldChar w:fldCharType="begin"/>
      </w:r>
      <w:r>
        <w:instrText xml:space="preserve"> PAGEREF _Toc178172317 \h </w:instrText>
      </w:r>
      <w:r>
        <w:fldChar w:fldCharType="separate"/>
      </w:r>
      <w:r>
        <w:t>14</w:t>
      </w:r>
      <w:r>
        <w:fldChar w:fldCharType="end"/>
      </w:r>
      <w:r>
        <w:fldChar w:fldCharType="end"/>
      </w:r>
    </w:p>
    <w:p w14:paraId="7E667B4F">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"_Toc178172318" </w:instrText>
      </w:r>
      <w:r>
        <w:fldChar w:fldCharType="separate"/>
      </w:r>
      <w:r>
        <w:rPr>
          <w:rStyle w:val="34"/>
        </w:rPr>
        <w:t>9.5.3  测绘</w:t>
      </w:r>
      <w:r>
        <w:tab/>
      </w:r>
      <w:r>
        <w:fldChar w:fldCharType="begin"/>
      </w:r>
      <w:r>
        <w:instrText xml:space="preserve"> PAGEREF _Toc178172318 \h </w:instrText>
      </w:r>
      <w:r>
        <w:fldChar w:fldCharType="separate"/>
      </w:r>
      <w:r>
        <w:t>14</w:t>
      </w:r>
      <w:r>
        <w:fldChar w:fldCharType="end"/>
      </w:r>
      <w:r>
        <w:fldChar w:fldCharType="end"/>
      </w:r>
    </w:p>
    <w:p w14:paraId="3C9592B7">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"_Toc178172319" </w:instrText>
      </w:r>
      <w:r>
        <w:fldChar w:fldCharType="separate"/>
      </w:r>
      <w:r>
        <w:rPr>
          <w:rStyle w:val="34"/>
        </w:rPr>
        <w:t>9.5.4  勘查</w:t>
      </w:r>
      <w:r>
        <w:tab/>
      </w:r>
      <w:r>
        <w:fldChar w:fldCharType="begin"/>
      </w:r>
      <w:r>
        <w:instrText xml:space="preserve"> PAGEREF _Toc178172319 \h </w:instrText>
      </w:r>
      <w:r>
        <w:fldChar w:fldCharType="separate"/>
      </w:r>
      <w:r>
        <w:t>14</w:t>
      </w:r>
      <w:r>
        <w:fldChar w:fldCharType="end"/>
      </w:r>
      <w:r>
        <w:fldChar w:fldCharType="end"/>
      </w:r>
    </w:p>
    <w:p w14:paraId="512A4AA0">
      <w:pPr>
        <w:pStyle w:val="25"/>
        <w:rPr>
          <w:rFonts w:asciiTheme="minorHAnsi" w:hAnsiTheme="minorHAnsi" w:eastAsiaTheme="minorEastAsia" w:cstheme="minorBidi"/>
          <w:szCs w:val="22"/>
        </w:rPr>
      </w:pPr>
      <w:r>
        <w:fldChar w:fldCharType="begin"/>
      </w:r>
      <w:r>
        <w:instrText xml:space="preserve"> HYPERLINK \l "_Toc178172320" </w:instrText>
      </w:r>
      <w:r>
        <w:fldChar w:fldCharType="separate"/>
      </w:r>
      <w:r>
        <w:rPr>
          <w:rStyle w:val="34"/>
          <w14:scene3d w14:prst="orthographicFront">
            <w14:lightRig w14:rig="threePt" w14:dir="t">
              <w14:rot w14:lat="0" w14:lon="0" w14:rev="0"/>
            </w14:lightRig>
          </w14:scene3d>
        </w:rPr>
        <w:t xml:space="preserve">9.6 </w:t>
      </w:r>
      <w:r>
        <w:rPr>
          <w:rStyle w:val="34"/>
        </w:rPr>
        <w:t xml:space="preserve"> 地面沉降调查</w:t>
      </w:r>
      <w:r>
        <w:tab/>
      </w:r>
      <w:r>
        <w:fldChar w:fldCharType="begin"/>
      </w:r>
      <w:r>
        <w:instrText xml:space="preserve"> PAGEREF _Toc178172320 \h </w:instrText>
      </w:r>
      <w:r>
        <w:fldChar w:fldCharType="separate"/>
      </w:r>
      <w:r>
        <w:t>15</w:t>
      </w:r>
      <w:r>
        <w:fldChar w:fldCharType="end"/>
      </w:r>
      <w:r>
        <w:fldChar w:fldCharType="end"/>
      </w:r>
    </w:p>
    <w:p w14:paraId="5E7DB54A">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"_Toc178172321" </w:instrText>
      </w:r>
      <w:r>
        <w:fldChar w:fldCharType="separate"/>
      </w:r>
      <w:r>
        <w:rPr>
          <w:rStyle w:val="34"/>
        </w:rPr>
        <w:t>9.6.1  一般要求</w:t>
      </w:r>
      <w:r>
        <w:tab/>
      </w:r>
      <w:r>
        <w:fldChar w:fldCharType="begin"/>
      </w:r>
      <w:r>
        <w:instrText xml:space="preserve"> PAGEREF _Toc178172321 \h </w:instrText>
      </w:r>
      <w:r>
        <w:fldChar w:fldCharType="separate"/>
      </w:r>
      <w:r>
        <w:t>15</w:t>
      </w:r>
      <w:r>
        <w:fldChar w:fldCharType="end"/>
      </w:r>
      <w:r>
        <w:fldChar w:fldCharType="end"/>
      </w:r>
    </w:p>
    <w:p w14:paraId="17A0B792">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"_Toc178172322" </w:instrText>
      </w:r>
      <w:r>
        <w:fldChar w:fldCharType="separate"/>
      </w:r>
      <w:r>
        <w:rPr>
          <w:rStyle w:val="34"/>
        </w:rPr>
        <w:t>9.6.2  调查内容</w:t>
      </w:r>
      <w:r>
        <w:tab/>
      </w:r>
      <w:r>
        <w:fldChar w:fldCharType="begin"/>
      </w:r>
      <w:r>
        <w:instrText xml:space="preserve"> PAGEREF _Toc178172322 \h </w:instrText>
      </w:r>
      <w:r>
        <w:fldChar w:fldCharType="separate"/>
      </w:r>
      <w:r>
        <w:t>15</w:t>
      </w:r>
      <w:r>
        <w:fldChar w:fldCharType="end"/>
      </w:r>
      <w:r>
        <w:fldChar w:fldCharType="end"/>
      </w:r>
    </w:p>
    <w:p w14:paraId="0BAF0DCC">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"_Toc178172323" </w:instrText>
      </w:r>
      <w:r>
        <w:fldChar w:fldCharType="separate"/>
      </w:r>
      <w:r>
        <w:rPr>
          <w:rStyle w:val="34"/>
        </w:rPr>
        <w:t>9.6.3  调查方法</w:t>
      </w:r>
      <w:r>
        <w:tab/>
      </w:r>
      <w:r>
        <w:fldChar w:fldCharType="begin"/>
      </w:r>
      <w:r>
        <w:instrText xml:space="preserve"> PAGEREF _Toc178172323 \h </w:instrText>
      </w:r>
      <w:r>
        <w:fldChar w:fldCharType="separate"/>
      </w:r>
      <w:r>
        <w:t>15</w:t>
      </w:r>
      <w:r>
        <w:fldChar w:fldCharType="end"/>
      </w:r>
      <w:r>
        <w:fldChar w:fldCharType="end"/>
      </w:r>
    </w:p>
    <w:p w14:paraId="55B0EF99">
      <w:pPr>
        <w:pStyle w:val="25"/>
        <w:rPr>
          <w:rFonts w:asciiTheme="minorHAnsi" w:hAnsiTheme="minorHAnsi" w:eastAsiaTheme="minorEastAsia" w:cstheme="minorBidi"/>
          <w:szCs w:val="22"/>
        </w:rPr>
      </w:pPr>
      <w:r>
        <w:fldChar w:fldCharType="begin"/>
      </w:r>
      <w:r>
        <w:instrText xml:space="preserve"> HYPERLINK \l "_Toc178172324" </w:instrText>
      </w:r>
      <w:r>
        <w:fldChar w:fldCharType="separate"/>
      </w:r>
      <w:r>
        <w:rPr>
          <w:rStyle w:val="34"/>
          <w14:scene3d w14:prst="orthographicFront">
            <w14:lightRig w14:rig="threePt" w14:dir="t">
              <w14:rot w14:lat="0" w14:lon="0" w14:rev="0"/>
            </w14:lightRig>
          </w14:scene3d>
        </w:rPr>
        <w:t xml:space="preserve">9.7 </w:t>
      </w:r>
      <w:r>
        <w:rPr>
          <w:rStyle w:val="34"/>
        </w:rPr>
        <w:t xml:space="preserve"> 地裂缝调查</w:t>
      </w:r>
      <w:r>
        <w:tab/>
      </w:r>
      <w:r>
        <w:fldChar w:fldCharType="begin"/>
      </w:r>
      <w:r>
        <w:instrText xml:space="preserve"> PAGEREF _Toc178172324 \h </w:instrText>
      </w:r>
      <w:r>
        <w:fldChar w:fldCharType="separate"/>
      </w:r>
      <w:r>
        <w:t>15</w:t>
      </w:r>
      <w:r>
        <w:fldChar w:fldCharType="end"/>
      </w:r>
      <w:r>
        <w:fldChar w:fldCharType="end"/>
      </w:r>
    </w:p>
    <w:p w14:paraId="7FE4AC07">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"_Toc178172325" </w:instrText>
      </w:r>
      <w:r>
        <w:fldChar w:fldCharType="separate"/>
      </w:r>
      <w:r>
        <w:rPr>
          <w:rStyle w:val="34"/>
        </w:rPr>
        <w:t>9.7.1  一般要求</w:t>
      </w:r>
      <w:r>
        <w:tab/>
      </w:r>
      <w:r>
        <w:fldChar w:fldCharType="begin"/>
      </w:r>
      <w:r>
        <w:instrText xml:space="preserve"> PAGEREF _Toc178172325 \h </w:instrText>
      </w:r>
      <w:r>
        <w:fldChar w:fldCharType="separate"/>
      </w:r>
      <w:r>
        <w:t>15</w:t>
      </w:r>
      <w:r>
        <w:fldChar w:fldCharType="end"/>
      </w:r>
      <w:r>
        <w:fldChar w:fldCharType="end"/>
      </w:r>
    </w:p>
    <w:p w14:paraId="02A87485">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"_Toc178172326" </w:instrText>
      </w:r>
      <w:r>
        <w:fldChar w:fldCharType="separate"/>
      </w:r>
      <w:r>
        <w:rPr>
          <w:rStyle w:val="34"/>
        </w:rPr>
        <w:t>9.7.2  调查内容</w:t>
      </w:r>
      <w:r>
        <w:tab/>
      </w:r>
      <w:r>
        <w:fldChar w:fldCharType="begin"/>
      </w:r>
      <w:r>
        <w:instrText xml:space="preserve"> PAGEREF _Toc178172326 \h </w:instrText>
      </w:r>
      <w:r>
        <w:fldChar w:fldCharType="separate"/>
      </w:r>
      <w:r>
        <w:t>15</w:t>
      </w:r>
      <w:r>
        <w:fldChar w:fldCharType="end"/>
      </w:r>
      <w:r>
        <w:fldChar w:fldCharType="end"/>
      </w:r>
    </w:p>
    <w:p w14:paraId="138ABC0E">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"_Toc178172327" </w:instrText>
      </w:r>
      <w:r>
        <w:fldChar w:fldCharType="separate"/>
      </w:r>
      <w:r>
        <w:rPr>
          <w:rStyle w:val="34"/>
        </w:rPr>
        <w:t>9.7.3  调查方法</w:t>
      </w:r>
      <w:r>
        <w:tab/>
      </w:r>
      <w:r>
        <w:fldChar w:fldCharType="begin"/>
      </w:r>
      <w:r>
        <w:instrText xml:space="preserve"> PAGEREF _Toc178172327 \h </w:instrText>
      </w:r>
      <w:r>
        <w:fldChar w:fldCharType="separate"/>
      </w:r>
      <w:r>
        <w:t>16</w:t>
      </w:r>
      <w:r>
        <w:fldChar w:fldCharType="end"/>
      </w:r>
      <w:r>
        <w:fldChar w:fldCharType="end"/>
      </w:r>
    </w:p>
    <w:p w14:paraId="4C5D1F3B">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"_Toc178172328" </w:instrText>
      </w:r>
      <w:r>
        <w:fldChar w:fldCharType="separate"/>
      </w:r>
      <w:r>
        <w:rPr>
          <w:rStyle w:val="34"/>
        </w:rPr>
        <w:t>10  承灾体调查</w:t>
      </w:r>
      <w:r>
        <w:tab/>
      </w:r>
      <w:r>
        <w:fldChar w:fldCharType="begin"/>
      </w:r>
      <w:r>
        <w:instrText xml:space="preserve"> PAGEREF _Toc178172328 \h </w:instrText>
      </w:r>
      <w:r>
        <w:fldChar w:fldCharType="separate"/>
      </w:r>
      <w:r>
        <w:t>16</w:t>
      </w:r>
      <w:r>
        <w:fldChar w:fldCharType="end"/>
      </w:r>
      <w:r>
        <w:fldChar w:fldCharType="end"/>
      </w:r>
    </w:p>
    <w:p w14:paraId="2B84097B">
      <w:pPr>
        <w:pStyle w:val="25"/>
        <w:rPr>
          <w:rFonts w:asciiTheme="minorHAnsi" w:hAnsiTheme="minorHAnsi" w:eastAsiaTheme="minorEastAsia" w:cstheme="minorBidi"/>
          <w:szCs w:val="22"/>
        </w:rPr>
      </w:pPr>
      <w:r>
        <w:fldChar w:fldCharType="begin"/>
      </w:r>
      <w:r>
        <w:instrText xml:space="preserve"> HYPERLINK \l "_Toc178172329" </w:instrText>
      </w:r>
      <w:r>
        <w:fldChar w:fldCharType="separate"/>
      </w:r>
      <w:r>
        <w:rPr>
          <w:rStyle w:val="34"/>
          <w14:scene3d w14:prst="orthographicFront">
            <w14:lightRig w14:rig="threePt" w14:dir="t">
              <w14:rot w14:lat="0" w14:lon="0" w14:rev="0"/>
            </w14:lightRig>
          </w14:scene3d>
        </w:rPr>
        <w:t xml:space="preserve">10.1 </w:t>
      </w:r>
      <w:r>
        <w:rPr>
          <w:rStyle w:val="34"/>
        </w:rPr>
        <w:t xml:space="preserve"> 一般要求</w:t>
      </w:r>
      <w:r>
        <w:tab/>
      </w:r>
      <w:r>
        <w:fldChar w:fldCharType="begin"/>
      </w:r>
      <w:r>
        <w:instrText xml:space="preserve"> PAGEREF _Toc178172329 \h </w:instrText>
      </w:r>
      <w:r>
        <w:fldChar w:fldCharType="separate"/>
      </w:r>
      <w:r>
        <w:t>16</w:t>
      </w:r>
      <w:r>
        <w:fldChar w:fldCharType="end"/>
      </w:r>
      <w:r>
        <w:fldChar w:fldCharType="end"/>
      </w:r>
    </w:p>
    <w:p w14:paraId="036C6E82">
      <w:pPr>
        <w:pStyle w:val="25"/>
        <w:rPr>
          <w:rFonts w:asciiTheme="minorHAnsi" w:hAnsiTheme="minorHAnsi" w:eastAsiaTheme="minorEastAsia" w:cstheme="minorBidi"/>
          <w:szCs w:val="22"/>
        </w:rPr>
      </w:pPr>
      <w:r>
        <w:fldChar w:fldCharType="begin"/>
      </w:r>
      <w:r>
        <w:instrText xml:space="preserve"> HYPERLINK \l "_Toc178172330" </w:instrText>
      </w:r>
      <w:r>
        <w:fldChar w:fldCharType="separate"/>
      </w:r>
      <w:r>
        <w:rPr>
          <w:rStyle w:val="34"/>
          <w14:scene3d w14:prst="orthographicFront">
            <w14:lightRig w14:rig="threePt" w14:dir="t">
              <w14:rot w14:lat="0" w14:lon="0" w14:rev="0"/>
            </w14:lightRig>
          </w14:scene3d>
        </w:rPr>
        <w:t xml:space="preserve">10.2 </w:t>
      </w:r>
      <w:r>
        <w:rPr>
          <w:rStyle w:val="34"/>
        </w:rPr>
        <w:t xml:space="preserve"> 人员调查</w:t>
      </w:r>
      <w:r>
        <w:tab/>
      </w:r>
      <w:r>
        <w:fldChar w:fldCharType="begin"/>
      </w:r>
      <w:r>
        <w:instrText xml:space="preserve"> PAGEREF _Toc178172330 \h </w:instrText>
      </w:r>
      <w:r>
        <w:fldChar w:fldCharType="separate"/>
      </w:r>
      <w:r>
        <w:t>16</w:t>
      </w:r>
      <w:r>
        <w:fldChar w:fldCharType="end"/>
      </w:r>
      <w:r>
        <w:fldChar w:fldCharType="end"/>
      </w:r>
    </w:p>
    <w:p w14:paraId="71D814E4">
      <w:pPr>
        <w:pStyle w:val="25"/>
        <w:rPr>
          <w:rFonts w:asciiTheme="minorHAnsi" w:hAnsiTheme="minorHAnsi" w:eastAsiaTheme="minorEastAsia" w:cstheme="minorBidi"/>
          <w:szCs w:val="22"/>
        </w:rPr>
      </w:pPr>
      <w:r>
        <w:fldChar w:fldCharType="begin"/>
      </w:r>
      <w:r>
        <w:instrText xml:space="preserve"> HYPERLINK \l "_Toc178172331" </w:instrText>
      </w:r>
      <w:r>
        <w:fldChar w:fldCharType="separate"/>
      </w:r>
      <w:r>
        <w:rPr>
          <w:rStyle w:val="34"/>
          <w14:scene3d w14:prst="orthographicFront">
            <w14:lightRig w14:rig="threePt" w14:dir="t">
              <w14:rot w14:lat="0" w14:lon="0" w14:rev="0"/>
            </w14:lightRig>
          </w14:scene3d>
        </w:rPr>
        <w:t xml:space="preserve">10.3 </w:t>
      </w:r>
      <w:r>
        <w:rPr>
          <w:rStyle w:val="34"/>
        </w:rPr>
        <w:t xml:space="preserve"> 经济类承灾体调查</w:t>
      </w:r>
      <w:r>
        <w:tab/>
      </w:r>
      <w:r>
        <w:fldChar w:fldCharType="begin"/>
      </w:r>
      <w:r>
        <w:instrText xml:space="preserve"> PAGEREF _Toc178172331 \h </w:instrText>
      </w:r>
      <w:r>
        <w:fldChar w:fldCharType="separate"/>
      </w:r>
      <w:r>
        <w:t>16</w:t>
      </w:r>
      <w:r>
        <w:fldChar w:fldCharType="end"/>
      </w:r>
      <w:r>
        <w:fldChar w:fldCharType="end"/>
      </w:r>
    </w:p>
    <w:p w14:paraId="09A65A5B">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"_Toc178172332" </w:instrText>
      </w:r>
      <w:r>
        <w:fldChar w:fldCharType="separate"/>
      </w:r>
      <w:r>
        <w:rPr>
          <w:rStyle w:val="34"/>
        </w:rPr>
        <w:t>11  地质灾害风险评价</w:t>
      </w:r>
      <w:r>
        <w:tab/>
      </w:r>
      <w:r>
        <w:fldChar w:fldCharType="begin"/>
      </w:r>
      <w:r>
        <w:instrText xml:space="preserve"> PAGEREF _Toc178172332 \h </w:instrText>
      </w:r>
      <w:r>
        <w:fldChar w:fldCharType="separate"/>
      </w:r>
      <w:r>
        <w:t>17</w:t>
      </w:r>
      <w:r>
        <w:fldChar w:fldCharType="end"/>
      </w:r>
      <w:r>
        <w:fldChar w:fldCharType="end"/>
      </w:r>
    </w:p>
    <w:p w14:paraId="4DE4FB59">
      <w:pPr>
        <w:pStyle w:val="25"/>
        <w:rPr>
          <w:rFonts w:asciiTheme="minorHAnsi" w:hAnsiTheme="minorHAnsi" w:eastAsiaTheme="minorEastAsia" w:cstheme="minorBidi"/>
          <w:szCs w:val="22"/>
        </w:rPr>
      </w:pPr>
      <w:r>
        <w:fldChar w:fldCharType="begin"/>
      </w:r>
      <w:r>
        <w:instrText xml:space="preserve"> HYPERLINK \l "_Toc178172333" </w:instrText>
      </w:r>
      <w:r>
        <w:fldChar w:fldCharType="separate"/>
      </w:r>
      <w:r>
        <w:rPr>
          <w:rStyle w:val="34"/>
          <w14:scene3d w14:prst="orthographicFront">
            <w14:lightRig w14:rig="threePt" w14:dir="t">
              <w14:rot w14:lat="0" w14:lon="0" w14:rev="0"/>
            </w14:lightRig>
          </w14:scene3d>
        </w:rPr>
        <w:t xml:space="preserve">11.1 </w:t>
      </w:r>
      <w:r>
        <w:rPr>
          <w:rStyle w:val="34"/>
        </w:rPr>
        <w:t xml:space="preserve"> 一般要求</w:t>
      </w:r>
      <w:r>
        <w:tab/>
      </w:r>
      <w:r>
        <w:fldChar w:fldCharType="begin"/>
      </w:r>
      <w:r>
        <w:instrText xml:space="preserve"> PAGEREF _Toc178172333 \h </w:instrText>
      </w:r>
      <w:r>
        <w:fldChar w:fldCharType="separate"/>
      </w:r>
      <w:r>
        <w:t>17</w:t>
      </w:r>
      <w:r>
        <w:fldChar w:fldCharType="end"/>
      </w:r>
      <w:r>
        <w:fldChar w:fldCharType="end"/>
      </w:r>
    </w:p>
    <w:p w14:paraId="648B5833">
      <w:pPr>
        <w:pStyle w:val="25"/>
        <w:rPr>
          <w:rFonts w:asciiTheme="minorHAnsi" w:hAnsiTheme="minorHAnsi" w:eastAsiaTheme="minorEastAsia" w:cstheme="minorBidi"/>
          <w:szCs w:val="22"/>
        </w:rPr>
      </w:pPr>
      <w:r>
        <w:fldChar w:fldCharType="begin"/>
      </w:r>
      <w:r>
        <w:instrText xml:space="preserve"> HYPERLINK \l "_Toc178172334" </w:instrText>
      </w:r>
      <w:r>
        <w:fldChar w:fldCharType="separate"/>
      </w:r>
      <w:r>
        <w:rPr>
          <w:rStyle w:val="34"/>
          <w14:scene3d w14:prst="orthographicFront">
            <w14:lightRig w14:rig="threePt" w14:dir="t">
              <w14:rot w14:lat="0" w14:lon="0" w14:rev="0"/>
            </w14:lightRig>
          </w14:scene3d>
        </w:rPr>
        <w:t xml:space="preserve">11.2 </w:t>
      </w:r>
      <w:r>
        <w:rPr>
          <w:rStyle w:val="34"/>
        </w:rPr>
        <w:t xml:space="preserve"> 突发性地质灾害风险评价</w:t>
      </w:r>
      <w:r>
        <w:tab/>
      </w:r>
      <w:r>
        <w:fldChar w:fldCharType="begin"/>
      </w:r>
      <w:r>
        <w:instrText xml:space="preserve"> PAGEREF _Toc178172334 \h </w:instrText>
      </w:r>
      <w:r>
        <w:fldChar w:fldCharType="separate"/>
      </w:r>
      <w:r>
        <w:t>17</w:t>
      </w:r>
      <w:r>
        <w:fldChar w:fldCharType="end"/>
      </w:r>
      <w:r>
        <w:fldChar w:fldCharType="end"/>
      </w:r>
    </w:p>
    <w:p w14:paraId="50C398AF">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"_Toc178172335" </w:instrText>
      </w:r>
      <w:r>
        <w:fldChar w:fldCharType="separate"/>
      </w:r>
      <w:r>
        <w:rPr>
          <w:rStyle w:val="34"/>
        </w:rPr>
        <w:t>11.2.1  易发性评价</w:t>
      </w:r>
      <w:r>
        <w:tab/>
      </w:r>
      <w:r>
        <w:fldChar w:fldCharType="begin"/>
      </w:r>
      <w:r>
        <w:instrText xml:space="preserve"> PAGEREF _Toc178172335 \h </w:instrText>
      </w:r>
      <w:r>
        <w:fldChar w:fldCharType="separate"/>
      </w:r>
      <w:r>
        <w:t>17</w:t>
      </w:r>
      <w:r>
        <w:fldChar w:fldCharType="end"/>
      </w:r>
      <w:r>
        <w:fldChar w:fldCharType="end"/>
      </w:r>
    </w:p>
    <w:p w14:paraId="7AC54A9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"_Toc178172336" </w:instrText>
      </w:r>
      <w:r>
        <w:fldChar w:fldCharType="separate"/>
      </w:r>
      <w:r>
        <w:rPr>
          <w:rStyle w:val="34"/>
        </w:rPr>
        <w:t>11.2.2  危险性评价</w:t>
      </w:r>
      <w:r>
        <w:tab/>
      </w:r>
      <w:r>
        <w:fldChar w:fldCharType="begin"/>
      </w:r>
      <w:r>
        <w:instrText xml:space="preserve"> PAGEREF _Toc178172336 \h </w:instrText>
      </w:r>
      <w:r>
        <w:fldChar w:fldCharType="separate"/>
      </w:r>
      <w:r>
        <w:t>17</w:t>
      </w:r>
      <w:r>
        <w:fldChar w:fldCharType="end"/>
      </w:r>
      <w:r>
        <w:fldChar w:fldCharType="end"/>
      </w:r>
    </w:p>
    <w:p w14:paraId="7DCB5499">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"_Toc178172337" </w:instrText>
      </w:r>
      <w:r>
        <w:fldChar w:fldCharType="separate"/>
      </w:r>
      <w:r>
        <w:rPr>
          <w:rStyle w:val="34"/>
        </w:rPr>
        <w:t>11.2.3  易损性评价</w:t>
      </w:r>
      <w:r>
        <w:tab/>
      </w:r>
      <w:r>
        <w:fldChar w:fldCharType="begin"/>
      </w:r>
      <w:r>
        <w:instrText xml:space="preserve"> PAGEREF _Toc178172337 \h </w:instrText>
      </w:r>
      <w:r>
        <w:fldChar w:fldCharType="separate"/>
      </w:r>
      <w:r>
        <w:t>18</w:t>
      </w:r>
      <w:r>
        <w:fldChar w:fldCharType="end"/>
      </w:r>
      <w:r>
        <w:fldChar w:fldCharType="end"/>
      </w:r>
    </w:p>
    <w:p w14:paraId="7C797860">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"_Toc178172338" </w:instrText>
      </w:r>
      <w:r>
        <w:fldChar w:fldCharType="separate"/>
      </w:r>
      <w:r>
        <w:rPr>
          <w:rStyle w:val="34"/>
        </w:rPr>
        <w:t>11.2.4  风险评价</w:t>
      </w:r>
      <w:r>
        <w:tab/>
      </w:r>
      <w:r>
        <w:fldChar w:fldCharType="begin"/>
      </w:r>
      <w:r>
        <w:instrText xml:space="preserve"> PAGEREF _Toc178172338 \h </w:instrText>
      </w:r>
      <w:r>
        <w:fldChar w:fldCharType="separate"/>
      </w:r>
      <w:r>
        <w:t>18</w:t>
      </w:r>
      <w:r>
        <w:fldChar w:fldCharType="end"/>
      </w:r>
      <w:r>
        <w:fldChar w:fldCharType="end"/>
      </w:r>
    </w:p>
    <w:p w14:paraId="5B0BF262">
      <w:pPr>
        <w:pStyle w:val="25"/>
        <w:rPr>
          <w:rFonts w:asciiTheme="minorHAnsi" w:hAnsiTheme="minorHAnsi" w:eastAsiaTheme="minorEastAsia" w:cstheme="minorBidi"/>
          <w:szCs w:val="22"/>
        </w:rPr>
      </w:pPr>
      <w:r>
        <w:fldChar w:fldCharType="begin"/>
      </w:r>
      <w:r>
        <w:instrText xml:space="preserve"> HYPERLINK \l "_Toc178172339" </w:instrText>
      </w:r>
      <w:r>
        <w:fldChar w:fldCharType="separate"/>
      </w:r>
      <w:r>
        <w:rPr>
          <w:rStyle w:val="34"/>
          <w14:scene3d w14:prst="orthographicFront">
            <w14:lightRig w14:rig="threePt" w14:dir="t">
              <w14:rot w14:lat="0" w14:lon="0" w14:rev="0"/>
            </w14:lightRig>
          </w14:scene3d>
        </w:rPr>
        <w:t xml:space="preserve">11.3 </w:t>
      </w:r>
      <w:r>
        <w:rPr>
          <w:rStyle w:val="34"/>
        </w:rPr>
        <w:t xml:space="preserve"> 地面沉降风险评价</w:t>
      </w:r>
      <w:r>
        <w:tab/>
      </w:r>
      <w:r>
        <w:fldChar w:fldCharType="begin"/>
      </w:r>
      <w:r>
        <w:instrText xml:space="preserve"> PAGEREF _Toc178172339 \h </w:instrText>
      </w:r>
      <w:r>
        <w:fldChar w:fldCharType="separate"/>
      </w:r>
      <w:r>
        <w:t>18</w:t>
      </w:r>
      <w:r>
        <w:fldChar w:fldCharType="end"/>
      </w:r>
      <w:r>
        <w:fldChar w:fldCharType="end"/>
      </w:r>
    </w:p>
    <w:p w14:paraId="745E8F0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"_Toc178172340" </w:instrText>
      </w:r>
      <w:r>
        <w:fldChar w:fldCharType="separate"/>
      </w:r>
      <w:r>
        <w:rPr>
          <w:rStyle w:val="34"/>
        </w:rPr>
        <w:t>11.3.1  评价内容</w:t>
      </w:r>
      <w:r>
        <w:tab/>
      </w:r>
      <w:r>
        <w:fldChar w:fldCharType="begin"/>
      </w:r>
      <w:r>
        <w:instrText xml:space="preserve"> PAGEREF _Toc178172340 \h </w:instrText>
      </w:r>
      <w:r>
        <w:fldChar w:fldCharType="separate"/>
      </w:r>
      <w:r>
        <w:t>18</w:t>
      </w:r>
      <w:r>
        <w:fldChar w:fldCharType="end"/>
      </w:r>
      <w:r>
        <w:fldChar w:fldCharType="end"/>
      </w:r>
    </w:p>
    <w:p w14:paraId="6AA15821">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"_Toc178172341" </w:instrText>
      </w:r>
      <w:r>
        <w:fldChar w:fldCharType="separate"/>
      </w:r>
      <w:r>
        <w:rPr>
          <w:rStyle w:val="34"/>
        </w:rPr>
        <w:t>11.3.2  地面沉降危险性评价</w:t>
      </w:r>
      <w:r>
        <w:tab/>
      </w:r>
      <w:r>
        <w:fldChar w:fldCharType="begin"/>
      </w:r>
      <w:r>
        <w:instrText xml:space="preserve"> PAGEREF _Toc178172341 \h </w:instrText>
      </w:r>
      <w:r>
        <w:fldChar w:fldCharType="separate"/>
      </w:r>
      <w:r>
        <w:t>18</w:t>
      </w:r>
      <w:r>
        <w:fldChar w:fldCharType="end"/>
      </w:r>
      <w:r>
        <w:fldChar w:fldCharType="end"/>
      </w:r>
    </w:p>
    <w:p w14:paraId="4ABED58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"_Toc178172342" </w:instrText>
      </w:r>
      <w:r>
        <w:fldChar w:fldCharType="separate"/>
      </w:r>
      <w:r>
        <w:rPr>
          <w:rStyle w:val="34"/>
        </w:rPr>
        <w:t>11.3.3  地面沉降易损性评价</w:t>
      </w:r>
      <w:r>
        <w:tab/>
      </w:r>
      <w:r>
        <w:fldChar w:fldCharType="begin"/>
      </w:r>
      <w:r>
        <w:instrText xml:space="preserve"> PAGEREF _Toc178172342 \h </w:instrText>
      </w:r>
      <w:r>
        <w:fldChar w:fldCharType="separate"/>
      </w:r>
      <w:r>
        <w:t>19</w:t>
      </w:r>
      <w:r>
        <w:fldChar w:fldCharType="end"/>
      </w:r>
      <w:r>
        <w:fldChar w:fldCharType="end"/>
      </w:r>
    </w:p>
    <w:p w14:paraId="1611CF2B">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"_Toc178172343" </w:instrText>
      </w:r>
      <w:r>
        <w:fldChar w:fldCharType="separate"/>
      </w:r>
      <w:r>
        <w:rPr>
          <w:rStyle w:val="34"/>
        </w:rPr>
        <w:t>11.3.4  防灾减灾能力评价</w:t>
      </w:r>
      <w:r>
        <w:tab/>
      </w:r>
      <w:r>
        <w:fldChar w:fldCharType="begin"/>
      </w:r>
      <w:r>
        <w:instrText xml:space="preserve"> PAGEREF _Toc178172343 \h </w:instrText>
      </w:r>
      <w:r>
        <w:fldChar w:fldCharType="separate"/>
      </w:r>
      <w:r>
        <w:t>20</w:t>
      </w:r>
      <w:r>
        <w:fldChar w:fldCharType="end"/>
      </w:r>
      <w:r>
        <w:fldChar w:fldCharType="end"/>
      </w:r>
    </w:p>
    <w:p w14:paraId="4445708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"_Toc178172344" </w:instrText>
      </w:r>
      <w:r>
        <w:fldChar w:fldCharType="separate"/>
      </w:r>
      <w:r>
        <w:rPr>
          <w:rStyle w:val="34"/>
        </w:rPr>
        <w:t>11.3.5  风险评价与分区</w:t>
      </w:r>
      <w:r>
        <w:tab/>
      </w:r>
      <w:r>
        <w:fldChar w:fldCharType="begin"/>
      </w:r>
      <w:r>
        <w:instrText xml:space="preserve"> PAGEREF _Toc178172344 \h </w:instrText>
      </w:r>
      <w:r>
        <w:fldChar w:fldCharType="separate"/>
      </w:r>
      <w:r>
        <w:t>20</w:t>
      </w:r>
      <w:r>
        <w:fldChar w:fldCharType="end"/>
      </w:r>
      <w:r>
        <w:fldChar w:fldCharType="end"/>
      </w:r>
    </w:p>
    <w:p w14:paraId="36FA9E98">
      <w:pPr>
        <w:pStyle w:val="25"/>
        <w:rPr>
          <w:rFonts w:asciiTheme="minorHAnsi" w:hAnsiTheme="minorHAnsi" w:eastAsiaTheme="minorEastAsia" w:cstheme="minorBidi"/>
          <w:szCs w:val="22"/>
        </w:rPr>
      </w:pPr>
      <w:r>
        <w:fldChar w:fldCharType="begin"/>
      </w:r>
      <w:r>
        <w:instrText xml:space="preserve"> HYPERLINK \l "_Toc178172345" </w:instrText>
      </w:r>
      <w:r>
        <w:fldChar w:fldCharType="separate"/>
      </w:r>
      <w:r>
        <w:rPr>
          <w:rStyle w:val="34"/>
          <w14:scene3d w14:prst="orthographicFront">
            <w14:lightRig w14:rig="threePt" w14:dir="t">
              <w14:rot w14:lat="0" w14:lon="0" w14:rev="0"/>
            </w14:lightRig>
          </w14:scene3d>
        </w:rPr>
        <w:t xml:space="preserve">11.4 </w:t>
      </w:r>
      <w:r>
        <w:rPr>
          <w:rStyle w:val="34"/>
        </w:rPr>
        <w:t xml:space="preserve"> 地裂缝风险评价</w:t>
      </w:r>
      <w:r>
        <w:tab/>
      </w:r>
      <w:r>
        <w:fldChar w:fldCharType="begin"/>
      </w:r>
      <w:r>
        <w:instrText xml:space="preserve"> PAGEREF _Toc178172345 \h </w:instrText>
      </w:r>
      <w:r>
        <w:fldChar w:fldCharType="separate"/>
      </w:r>
      <w:r>
        <w:t>21</w:t>
      </w:r>
      <w:r>
        <w:fldChar w:fldCharType="end"/>
      </w:r>
      <w:r>
        <w:fldChar w:fldCharType="end"/>
      </w:r>
    </w:p>
    <w:p w14:paraId="47A305DC">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"_Toc178172346" </w:instrText>
      </w:r>
      <w:r>
        <w:fldChar w:fldCharType="separate"/>
      </w:r>
      <w:r>
        <w:rPr>
          <w:rStyle w:val="34"/>
        </w:rPr>
        <w:t>11.4.1  地裂缝易发性评价</w:t>
      </w:r>
      <w:r>
        <w:tab/>
      </w:r>
      <w:r>
        <w:fldChar w:fldCharType="begin"/>
      </w:r>
      <w:r>
        <w:instrText xml:space="preserve"> PAGEREF _Toc178172346 \h </w:instrText>
      </w:r>
      <w:r>
        <w:fldChar w:fldCharType="separate"/>
      </w:r>
      <w:r>
        <w:t>21</w:t>
      </w:r>
      <w:r>
        <w:fldChar w:fldCharType="end"/>
      </w:r>
      <w:r>
        <w:fldChar w:fldCharType="end"/>
      </w:r>
    </w:p>
    <w:p w14:paraId="54249E30">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"_Toc178172347" </w:instrText>
      </w:r>
      <w:r>
        <w:fldChar w:fldCharType="separate"/>
      </w:r>
      <w:r>
        <w:rPr>
          <w:rStyle w:val="34"/>
        </w:rPr>
        <w:t>11.4.2  地裂缝危险性评价</w:t>
      </w:r>
      <w:r>
        <w:tab/>
      </w:r>
      <w:r>
        <w:fldChar w:fldCharType="begin"/>
      </w:r>
      <w:r>
        <w:instrText xml:space="preserve"> PAGEREF _Toc178172347 \h </w:instrText>
      </w:r>
      <w:r>
        <w:fldChar w:fldCharType="separate"/>
      </w:r>
      <w:r>
        <w:t>21</w:t>
      </w:r>
      <w:r>
        <w:fldChar w:fldCharType="end"/>
      </w:r>
      <w:r>
        <w:fldChar w:fldCharType="end"/>
      </w:r>
    </w:p>
    <w:p w14:paraId="1BD58C67">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"_Toc178172348" </w:instrText>
      </w:r>
      <w:r>
        <w:fldChar w:fldCharType="separate"/>
      </w:r>
      <w:r>
        <w:rPr>
          <w:rStyle w:val="34"/>
        </w:rPr>
        <w:t>11.4.3  地裂缝易损性评价</w:t>
      </w:r>
      <w:r>
        <w:tab/>
      </w:r>
      <w:r>
        <w:fldChar w:fldCharType="begin"/>
      </w:r>
      <w:r>
        <w:instrText xml:space="preserve"> PAGEREF _Toc178172348 \h </w:instrText>
      </w:r>
      <w:r>
        <w:fldChar w:fldCharType="separate"/>
      </w:r>
      <w:r>
        <w:t>21</w:t>
      </w:r>
      <w:r>
        <w:fldChar w:fldCharType="end"/>
      </w:r>
      <w:r>
        <w:fldChar w:fldCharType="end"/>
      </w:r>
    </w:p>
    <w:p w14:paraId="6A7813A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"_Toc178172349" </w:instrText>
      </w:r>
      <w:r>
        <w:fldChar w:fldCharType="separate"/>
      </w:r>
      <w:r>
        <w:rPr>
          <w:rStyle w:val="34"/>
        </w:rPr>
        <w:t>11.4.4  防灾减灾能力评价</w:t>
      </w:r>
      <w:r>
        <w:tab/>
      </w:r>
      <w:r>
        <w:fldChar w:fldCharType="begin"/>
      </w:r>
      <w:r>
        <w:instrText xml:space="preserve"> PAGEREF _Toc178172349 \h </w:instrText>
      </w:r>
      <w:r>
        <w:fldChar w:fldCharType="separate"/>
      </w:r>
      <w:r>
        <w:t>22</w:t>
      </w:r>
      <w:r>
        <w:fldChar w:fldCharType="end"/>
      </w:r>
      <w:r>
        <w:fldChar w:fldCharType="end"/>
      </w:r>
    </w:p>
    <w:p w14:paraId="1B96A50B">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"_Toc178172350" </w:instrText>
      </w:r>
      <w:r>
        <w:fldChar w:fldCharType="separate"/>
      </w:r>
      <w:r>
        <w:rPr>
          <w:rStyle w:val="34"/>
        </w:rPr>
        <w:t>11.4.5  地裂缝风险程度评价</w:t>
      </w:r>
      <w:r>
        <w:tab/>
      </w:r>
      <w:r>
        <w:fldChar w:fldCharType="begin"/>
      </w:r>
      <w:r>
        <w:instrText xml:space="preserve"> PAGEREF _Toc178172350 \h </w:instrText>
      </w:r>
      <w:r>
        <w:fldChar w:fldCharType="separate"/>
      </w:r>
      <w:r>
        <w:t>22</w:t>
      </w:r>
      <w:r>
        <w:fldChar w:fldCharType="end"/>
      </w:r>
      <w:r>
        <w:fldChar w:fldCharType="end"/>
      </w:r>
    </w:p>
    <w:p w14:paraId="7D465363">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"_Toc178172351" </w:instrText>
      </w:r>
      <w:r>
        <w:fldChar w:fldCharType="separate"/>
      </w:r>
      <w:r>
        <w:rPr>
          <w:rStyle w:val="34"/>
        </w:rPr>
        <w:t>12  风险管控</w:t>
      </w:r>
      <w:r>
        <w:tab/>
      </w:r>
      <w:r>
        <w:fldChar w:fldCharType="begin"/>
      </w:r>
      <w:r>
        <w:instrText xml:space="preserve"> PAGEREF _Toc178172351 \h </w:instrText>
      </w:r>
      <w:r>
        <w:fldChar w:fldCharType="separate"/>
      </w:r>
      <w:r>
        <w:t>22</w:t>
      </w:r>
      <w:r>
        <w:fldChar w:fldCharType="end"/>
      </w:r>
      <w:r>
        <w:fldChar w:fldCharType="end"/>
      </w:r>
    </w:p>
    <w:p w14:paraId="0DF9E63E">
      <w:pPr>
        <w:pStyle w:val="25"/>
        <w:rPr>
          <w:rFonts w:asciiTheme="minorHAnsi" w:hAnsiTheme="minorHAnsi" w:eastAsiaTheme="minorEastAsia" w:cstheme="minorBidi"/>
          <w:szCs w:val="22"/>
        </w:rPr>
      </w:pPr>
      <w:r>
        <w:fldChar w:fldCharType="begin"/>
      </w:r>
      <w:r>
        <w:instrText xml:space="preserve"> HYPERLINK \l "_Toc178172352" </w:instrText>
      </w:r>
      <w:r>
        <w:fldChar w:fldCharType="separate"/>
      </w:r>
      <w:r>
        <w:rPr>
          <w:rStyle w:val="34"/>
          <w14:scene3d w14:prst="orthographicFront">
            <w14:lightRig w14:rig="threePt" w14:dir="t">
              <w14:rot w14:lat="0" w14:lon="0" w14:rev="0"/>
            </w14:lightRig>
          </w14:scene3d>
        </w:rPr>
        <w:t xml:space="preserve">12.1 </w:t>
      </w:r>
      <w:r>
        <w:rPr>
          <w:rStyle w:val="34"/>
        </w:rPr>
        <w:t xml:space="preserve"> 地质灾害降雨阈值研究</w:t>
      </w:r>
      <w:r>
        <w:tab/>
      </w:r>
      <w:r>
        <w:fldChar w:fldCharType="begin"/>
      </w:r>
      <w:r>
        <w:instrText xml:space="preserve"> PAGEREF _Toc178172352 \h </w:instrText>
      </w:r>
      <w:r>
        <w:fldChar w:fldCharType="separate"/>
      </w:r>
      <w:r>
        <w:t>22</w:t>
      </w:r>
      <w:r>
        <w:fldChar w:fldCharType="end"/>
      </w:r>
      <w:r>
        <w:fldChar w:fldCharType="end"/>
      </w:r>
    </w:p>
    <w:p w14:paraId="470293F1">
      <w:pPr>
        <w:pStyle w:val="25"/>
        <w:rPr>
          <w:rFonts w:asciiTheme="minorHAnsi" w:hAnsiTheme="minorHAnsi" w:eastAsiaTheme="minorEastAsia" w:cstheme="minorBidi"/>
          <w:szCs w:val="22"/>
        </w:rPr>
      </w:pPr>
      <w:r>
        <w:fldChar w:fldCharType="begin"/>
      </w:r>
      <w:r>
        <w:instrText xml:space="preserve"> HYPERLINK \l "_Toc178172353" </w:instrText>
      </w:r>
      <w:r>
        <w:fldChar w:fldCharType="separate"/>
      </w:r>
      <w:r>
        <w:rPr>
          <w:rStyle w:val="34"/>
          <w14:scene3d w14:prst="orthographicFront">
            <w14:lightRig w14:rig="threePt" w14:dir="t">
              <w14:rot w14:lat="0" w14:lon="0" w14:rev="0"/>
            </w14:lightRig>
          </w14:scene3d>
        </w:rPr>
        <w:t xml:space="preserve">12.2 </w:t>
      </w:r>
      <w:r>
        <w:rPr>
          <w:rStyle w:val="34"/>
        </w:rPr>
        <w:t xml:space="preserve"> 地质灾害风险管控</w:t>
      </w:r>
      <w:r>
        <w:tab/>
      </w:r>
      <w:r>
        <w:fldChar w:fldCharType="begin"/>
      </w:r>
      <w:r>
        <w:instrText xml:space="preserve"> PAGEREF _Toc178172353 \h </w:instrText>
      </w:r>
      <w:r>
        <w:fldChar w:fldCharType="separate"/>
      </w:r>
      <w:r>
        <w:t>22</w:t>
      </w:r>
      <w:r>
        <w:fldChar w:fldCharType="end"/>
      </w:r>
      <w:r>
        <w:fldChar w:fldCharType="end"/>
      </w:r>
    </w:p>
    <w:p w14:paraId="48F25FF7">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"_Toc178172354" </w:instrText>
      </w:r>
      <w:r>
        <w:fldChar w:fldCharType="separate"/>
      </w:r>
      <w:r>
        <w:rPr>
          <w:rStyle w:val="34"/>
        </w:rPr>
        <w:t>13  设计书、成果编制与验收</w:t>
      </w:r>
      <w:r>
        <w:tab/>
      </w:r>
      <w:r>
        <w:fldChar w:fldCharType="begin"/>
      </w:r>
      <w:r>
        <w:instrText xml:space="preserve"> PAGEREF _Toc178172354 \h </w:instrText>
      </w:r>
      <w:r>
        <w:fldChar w:fldCharType="separate"/>
      </w:r>
      <w:r>
        <w:t>23</w:t>
      </w:r>
      <w:r>
        <w:fldChar w:fldCharType="end"/>
      </w:r>
      <w:r>
        <w:fldChar w:fldCharType="end"/>
      </w:r>
    </w:p>
    <w:p w14:paraId="15585149">
      <w:pPr>
        <w:pStyle w:val="25"/>
        <w:rPr>
          <w:rFonts w:asciiTheme="minorHAnsi" w:hAnsiTheme="minorHAnsi" w:eastAsiaTheme="minorEastAsia" w:cstheme="minorBidi"/>
          <w:szCs w:val="22"/>
        </w:rPr>
      </w:pPr>
      <w:r>
        <w:fldChar w:fldCharType="begin"/>
      </w:r>
      <w:r>
        <w:instrText xml:space="preserve"> HYPERLINK \l "_Toc178172355" </w:instrText>
      </w:r>
      <w:r>
        <w:fldChar w:fldCharType="separate"/>
      </w:r>
      <w:r>
        <w:rPr>
          <w:rStyle w:val="34"/>
          <w14:scene3d w14:prst="orthographicFront">
            <w14:lightRig w14:rig="threePt" w14:dir="t">
              <w14:rot w14:lat="0" w14:lon="0" w14:rev="0"/>
            </w14:lightRig>
          </w14:scene3d>
        </w:rPr>
        <w:t xml:space="preserve">13.1 </w:t>
      </w:r>
      <w:r>
        <w:rPr>
          <w:rStyle w:val="34"/>
        </w:rPr>
        <w:t xml:space="preserve"> 设计书编写</w:t>
      </w:r>
      <w:r>
        <w:tab/>
      </w:r>
      <w:r>
        <w:fldChar w:fldCharType="begin"/>
      </w:r>
      <w:r>
        <w:instrText xml:space="preserve"> PAGEREF _Toc178172355 \h </w:instrText>
      </w:r>
      <w:r>
        <w:fldChar w:fldCharType="separate"/>
      </w:r>
      <w:r>
        <w:t>23</w:t>
      </w:r>
      <w:r>
        <w:fldChar w:fldCharType="end"/>
      </w:r>
      <w:r>
        <w:fldChar w:fldCharType="end"/>
      </w:r>
    </w:p>
    <w:p w14:paraId="78332D17">
      <w:pPr>
        <w:pStyle w:val="25"/>
        <w:rPr>
          <w:rFonts w:asciiTheme="minorHAnsi" w:hAnsiTheme="minorHAnsi" w:eastAsiaTheme="minorEastAsia" w:cstheme="minorBidi"/>
          <w:szCs w:val="22"/>
        </w:rPr>
      </w:pPr>
      <w:r>
        <w:fldChar w:fldCharType="begin"/>
      </w:r>
      <w:r>
        <w:instrText xml:space="preserve"> HYPERLINK \l "_Toc178172356" </w:instrText>
      </w:r>
      <w:r>
        <w:fldChar w:fldCharType="separate"/>
      </w:r>
      <w:r>
        <w:rPr>
          <w:rStyle w:val="34"/>
          <w14:scene3d w14:prst="orthographicFront">
            <w14:lightRig w14:rig="threePt" w14:dir="t">
              <w14:rot w14:lat="0" w14:lon="0" w14:rev="0"/>
            </w14:lightRig>
          </w14:scene3d>
        </w:rPr>
        <w:t xml:space="preserve">13.2 </w:t>
      </w:r>
      <w:r>
        <w:rPr>
          <w:rStyle w:val="34"/>
        </w:rPr>
        <w:t xml:space="preserve"> 成果图件编制</w:t>
      </w:r>
      <w:r>
        <w:tab/>
      </w:r>
      <w:r>
        <w:fldChar w:fldCharType="begin"/>
      </w:r>
      <w:r>
        <w:instrText xml:space="preserve"> PAGEREF _Toc178172356 \h </w:instrText>
      </w:r>
      <w:r>
        <w:fldChar w:fldCharType="separate"/>
      </w:r>
      <w:r>
        <w:t>23</w:t>
      </w:r>
      <w:r>
        <w:fldChar w:fldCharType="end"/>
      </w:r>
      <w:r>
        <w:fldChar w:fldCharType="end"/>
      </w:r>
    </w:p>
    <w:p w14:paraId="5E55C7CF">
      <w:pPr>
        <w:pStyle w:val="25"/>
        <w:rPr>
          <w:rFonts w:asciiTheme="minorHAnsi" w:hAnsiTheme="minorHAnsi" w:eastAsiaTheme="minorEastAsia" w:cstheme="minorBidi"/>
          <w:szCs w:val="22"/>
        </w:rPr>
      </w:pPr>
      <w:r>
        <w:fldChar w:fldCharType="begin"/>
      </w:r>
      <w:r>
        <w:instrText xml:space="preserve"> HYPERLINK \l "_Toc178172357" </w:instrText>
      </w:r>
      <w:r>
        <w:fldChar w:fldCharType="separate"/>
      </w:r>
      <w:r>
        <w:rPr>
          <w:rStyle w:val="34"/>
          <w14:scene3d w14:prst="orthographicFront">
            <w14:lightRig w14:rig="threePt" w14:dir="t">
              <w14:rot w14:lat="0" w14:lon="0" w14:rev="0"/>
            </w14:lightRig>
          </w14:scene3d>
        </w:rPr>
        <w:t xml:space="preserve">13.3 </w:t>
      </w:r>
      <w:r>
        <w:rPr>
          <w:rStyle w:val="34"/>
        </w:rPr>
        <w:t xml:space="preserve"> 报告编制</w:t>
      </w:r>
      <w:r>
        <w:tab/>
      </w:r>
      <w:r>
        <w:fldChar w:fldCharType="begin"/>
      </w:r>
      <w:r>
        <w:instrText xml:space="preserve"> PAGEREF _Toc178172357 \h </w:instrText>
      </w:r>
      <w:r>
        <w:fldChar w:fldCharType="separate"/>
      </w:r>
      <w:r>
        <w:t>23</w:t>
      </w:r>
      <w:r>
        <w:fldChar w:fldCharType="end"/>
      </w:r>
      <w:r>
        <w:fldChar w:fldCharType="end"/>
      </w:r>
    </w:p>
    <w:p w14:paraId="1BDF452A">
      <w:pPr>
        <w:pStyle w:val="25"/>
        <w:rPr>
          <w:rFonts w:asciiTheme="minorHAnsi" w:hAnsiTheme="minorHAnsi" w:eastAsiaTheme="minorEastAsia" w:cstheme="minorBidi"/>
          <w:szCs w:val="22"/>
        </w:rPr>
      </w:pPr>
      <w:r>
        <w:fldChar w:fldCharType="begin"/>
      </w:r>
      <w:r>
        <w:instrText xml:space="preserve"> HYPERLINK \l "_Toc178172358" </w:instrText>
      </w:r>
      <w:r>
        <w:fldChar w:fldCharType="separate"/>
      </w:r>
      <w:r>
        <w:rPr>
          <w:rStyle w:val="34"/>
          <w14:scene3d w14:prst="orthographicFront">
            <w14:lightRig w14:rig="threePt" w14:dir="t">
              <w14:rot w14:lat="0" w14:lon="0" w14:rev="0"/>
            </w14:lightRig>
          </w14:scene3d>
        </w:rPr>
        <w:t xml:space="preserve">13.4 </w:t>
      </w:r>
      <w:r>
        <w:rPr>
          <w:rStyle w:val="34"/>
        </w:rPr>
        <w:t xml:space="preserve"> 数据库建设</w:t>
      </w:r>
      <w:r>
        <w:tab/>
      </w:r>
      <w:r>
        <w:fldChar w:fldCharType="begin"/>
      </w:r>
      <w:r>
        <w:instrText xml:space="preserve"> PAGEREF _Toc178172358 \h </w:instrText>
      </w:r>
      <w:r>
        <w:fldChar w:fldCharType="separate"/>
      </w:r>
      <w:r>
        <w:t>23</w:t>
      </w:r>
      <w:r>
        <w:fldChar w:fldCharType="end"/>
      </w:r>
      <w:r>
        <w:fldChar w:fldCharType="end"/>
      </w:r>
    </w:p>
    <w:p w14:paraId="5F6D247D">
      <w:pPr>
        <w:pStyle w:val="25"/>
        <w:rPr>
          <w:rFonts w:asciiTheme="minorHAnsi" w:hAnsiTheme="minorHAnsi" w:eastAsiaTheme="minorEastAsia" w:cstheme="minorBidi"/>
          <w:szCs w:val="22"/>
        </w:rPr>
      </w:pPr>
      <w:r>
        <w:fldChar w:fldCharType="begin"/>
      </w:r>
      <w:r>
        <w:instrText xml:space="preserve"> HYPERLINK \l "_Toc178172359" </w:instrText>
      </w:r>
      <w:r>
        <w:fldChar w:fldCharType="separate"/>
      </w:r>
      <w:r>
        <w:rPr>
          <w:rStyle w:val="34"/>
          <w14:scene3d w14:prst="orthographicFront">
            <w14:lightRig w14:rig="threePt" w14:dir="t">
              <w14:rot w14:lat="0" w14:lon="0" w14:rev="0"/>
            </w14:lightRig>
          </w14:scene3d>
        </w:rPr>
        <w:t xml:space="preserve">13.5 </w:t>
      </w:r>
      <w:r>
        <w:rPr>
          <w:rStyle w:val="34"/>
        </w:rPr>
        <w:t xml:space="preserve"> 成果验收</w:t>
      </w:r>
      <w:r>
        <w:tab/>
      </w:r>
      <w:r>
        <w:fldChar w:fldCharType="begin"/>
      </w:r>
      <w:r>
        <w:instrText xml:space="preserve"> PAGEREF _Toc178172359 \h </w:instrText>
      </w:r>
      <w:r>
        <w:fldChar w:fldCharType="separate"/>
      </w:r>
      <w:r>
        <w:t>24</w:t>
      </w:r>
      <w:r>
        <w:fldChar w:fldCharType="end"/>
      </w:r>
      <w:r>
        <w:fldChar w:fldCharType="end"/>
      </w:r>
    </w:p>
    <w:p w14:paraId="791DAD24">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"_Toc178172360" </w:instrText>
      </w:r>
      <w:r>
        <w:fldChar w:fldCharType="separate"/>
      </w:r>
      <w:r>
        <w:rPr>
          <w:rStyle w:val="34"/>
        </w:rPr>
        <w:t>13.5.1  质量检查</w:t>
      </w:r>
      <w:r>
        <w:tab/>
      </w:r>
      <w:r>
        <w:fldChar w:fldCharType="begin"/>
      </w:r>
      <w:r>
        <w:instrText xml:space="preserve"> PAGEREF _Toc178172360 \h </w:instrText>
      </w:r>
      <w:r>
        <w:fldChar w:fldCharType="separate"/>
      </w:r>
      <w:r>
        <w:t>24</w:t>
      </w:r>
      <w:r>
        <w:fldChar w:fldCharType="end"/>
      </w:r>
      <w:r>
        <w:fldChar w:fldCharType="end"/>
      </w:r>
    </w:p>
    <w:p w14:paraId="0288473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"_Toc178172361" </w:instrText>
      </w:r>
      <w:r>
        <w:fldChar w:fldCharType="separate"/>
      </w:r>
      <w:r>
        <w:rPr>
          <w:rStyle w:val="34"/>
        </w:rPr>
        <w:t>13.5.2  设计审查</w:t>
      </w:r>
      <w:r>
        <w:tab/>
      </w:r>
      <w:r>
        <w:fldChar w:fldCharType="begin"/>
      </w:r>
      <w:r>
        <w:instrText xml:space="preserve"> PAGEREF _Toc178172361 \h </w:instrText>
      </w:r>
      <w:r>
        <w:fldChar w:fldCharType="separate"/>
      </w:r>
      <w:r>
        <w:t>24</w:t>
      </w:r>
      <w:r>
        <w:fldChar w:fldCharType="end"/>
      </w:r>
      <w:r>
        <w:fldChar w:fldCharType="end"/>
      </w:r>
    </w:p>
    <w:p w14:paraId="41203297">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"_Toc178172362" </w:instrText>
      </w:r>
      <w:r>
        <w:fldChar w:fldCharType="separate"/>
      </w:r>
      <w:r>
        <w:rPr>
          <w:rStyle w:val="34"/>
        </w:rPr>
        <w:t>13.5.3  野外验收</w:t>
      </w:r>
      <w:r>
        <w:tab/>
      </w:r>
      <w:r>
        <w:fldChar w:fldCharType="begin"/>
      </w:r>
      <w:r>
        <w:instrText xml:space="preserve"> PAGEREF _Toc178172362 \h </w:instrText>
      </w:r>
      <w:r>
        <w:fldChar w:fldCharType="separate"/>
      </w:r>
      <w:r>
        <w:t>24</w:t>
      </w:r>
      <w:r>
        <w:fldChar w:fldCharType="end"/>
      </w:r>
      <w:r>
        <w:fldChar w:fldCharType="end"/>
      </w:r>
    </w:p>
    <w:p w14:paraId="0B419424">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"_Toc178172363" </w:instrText>
      </w:r>
      <w:r>
        <w:fldChar w:fldCharType="separate"/>
      </w:r>
      <w:r>
        <w:rPr>
          <w:rStyle w:val="34"/>
        </w:rPr>
        <w:t>13.5.4  数据库验收</w:t>
      </w:r>
      <w:r>
        <w:tab/>
      </w:r>
      <w:r>
        <w:fldChar w:fldCharType="begin"/>
      </w:r>
      <w:r>
        <w:instrText xml:space="preserve"> PAGEREF _Toc178172363 \h </w:instrText>
      </w:r>
      <w:r>
        <w:fldChar w:fldCharType="separate"/>
      </w:r>
      <w:r>
        <w:t>25</w:t>
      </w:r>
      <w:r>
        <w:fldChar w:fldCharType="end"/>
      </w:r>
      <w:r>
        <w:fldChar w:fldCharType="end"/>
      </w:r>
    </w:p>
    <w:p w14:paraId="6DDCE5EB">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"_Toc178172364" </w:instrText>
      </w:r>
      <w:r>
        <w:fldChar w:fldCharType="separate"/>
      </w:r>
      <w:r>
        <w:rPr>
          <w:rStyle w:val="34"/>
        </w:rPr>
        <w:t>13.5.5  成果验收</w:t>
      </w:r>
      <w:r>
        <w:tab/>
      </w:r>
      <w:r>
        <w:fldChar w:fldCharType="begin"/>
      </w:r>
      <w:r>
        <w:instrText xml:space="preserve"> PAGEREF _Toc178172364 \h </w:instrText>
      </w:r>
      <w:r>
        <w:fldChar w:fldCharType="separate"/>
      </w:r>
      <w:r>
        <w:t>25</w:t>
      </w:r>
      <w:r>
        <w:fldChar w:fldCharType="end"/>
      </w:r>
      <w:r>
        <w:fldChar w:fldCharType="end"/>
      </w:r>
    </w:p>
    <w:p w14:paraId="4E6D5517">
      <w:pPr>
        <w:pStyle w:val="25"/>
        <w:rPr>
          <w:rFonts w:asciiTheme="minorHAnsi" w:hAnsiTheme="minorHAnsi" w:eastAsiaTheme="minorEastAsia" w:cstheme="minorBidi"/>
          <w:szCs w:val="22"/>
        </w:rPr>
      </w:pPr>
      <w:r>
        <w:fldChar w:fldCharType="begin"/>
      </w:r>
      <w:r>
        <w:instrText xml:space="preserve"> HYPERLINK \l "_Toc178172365" </w:instrText>
      </w:r>
      <w:r>
        <w:fldChar w:fldCharType="separate"/>
      </w:r>
      <w:r>
        <w:rPr>
          <w:rStyle w:val="34"/>
          <w14:scene3d w14:prst="orthographicFront">
            <w14:lightRig w14:rig="threePt" w14:dir="t">
              <w14:rot w14:lat="0" w14:lon="0" w14:rev="0"/>
            </w14:lightRig>
          </w14:scene3d>
        </w:rPr>
        <w:t xml:space="preserve">13.6 </w:t>
      </w:r>
      <w:r>
        <w:rPr>
          <w:rStyle w:val="34"/>
        </w:rPr>
        <w:t xml:space="preserve"> 资料归档</w:t>
      </w:r>
      <w:r>
        <w:tab/>
      </w:r>
      <w:r>
        <w:fldChar w:fldCharType="begin"/>
      </w:r>
      <w:r>
        <w:instrText xml:space="preserve"> PAGEREF _Toc178172365 \h </w:instrText>
      </w:r>
      <w:r>
        <w:fldChar w:fldCharType="separate"/>
      </w:r>
      <w:r>
        <w:t>25</w:t>
      </w:r>
      <w:r>
        <w:fldChar w:fldCharType="end"/>
      </w:r>
      <w:r>
        <w:fldChar w:fldCharType="end"/>
      </w:r>
    </w:p>
    <w:p w14:paraId="536642C6">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"_Toc178172366" </w:instrText>
      </w:r>
      <w:r>
        <w:fldChar w:fldCharType="separate"/>
      </w:r>
      <w:r>
        <w:rPr>
          <w:rStyle w:val="34"/>
        </w:rPr>
        <w:t>附录A（资料性）  地质灾害调查新技术、新方法及其适用范围</w:t>
      </w:r>
      <w:r>
        <w:tab/>
      </w:r>
      <w:r>
        <w:fldChar w:fldCharType="begin"/>
      </w:r>
      <w:r>
        <w:instrText xml:space="preserve"> PAGEREF _Toc178172366 \h </w:instrText>
      </w:r>
      <w:r>
        <w:fldChar w:fldCharType="separate"/>
      </w:r>
      <w:r>
        <w:t>26</w:t>
      </w:r>
      <w:r>
        <w:fldChar w:fldCharType="end"/>
      </w:r>
      <w:r>
        <w:fldChar w:fldCharType="end"/>
      </w:r>
    </w:p>
    <w:p w14:paraId="151C8398">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"_Toc178172367" </w:instrText>
      </w:r>
      <w:r>
        <w:fldChar w:fldCharType="separate"/>
      </w:r>
      <w:r>
        <w:rPr>
          <w:rStyle w:val="34"/>
        </w:rPr>
        <w:t>附录B（资料性）  斜坡单元划分流程</w:t>
      </w:r>
      <w:r>
        <w:tab/>
      </w:r>
      <w:r>
        <w:fldChar w:fldCharType="begin"/>
      </w:r>
      <w:r>
        <w:instrText xml:space="preserve"> PAGEREF _Toc178172367 \h </w:instrText>
      </w:r>
      <w:r>
        <w:fldChar w:fldCharType="separate"/>
      </w:r>
      <w:r>
        <w:t>28</w:t>
      </w:r>
      <w:r>
        <w:fldChar w:fldCharType="end"/>
      </w:r>
      <w:r>
        <w:fldChar w:fldCharType="end"/>
      </w:r>
    </w:p>
    <w:p w14:paraId="01F113A6">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"_Toc178172368" </w:instrText>
      </w:r>
      <w:r>
        <w:fldChar w:fldCharType="separate"/>
      </w:r>
      <w:r>
        <w:rPr>
          <w:rStyle w:val="34"/>
        </w:rPr>
        <w:t>附录C（规范性）  野外调查记录表</w:t>
      </w:r>
      <w:r>
        <w:tab/>
      </w:r>
      <w:r>
        <w:fldChar w:fldCharType="begin"/>
      </w:r>
      <w:r>
        <w:instrText xml:space="preserve"> PAGEREF _Toc178172368 \h </w:instrText>
      </w:r>
      <w:r>
        <w:fldChar w:fldCharType="separate"/>
      </w:r>
      <w:r>
        <w:t>29</w:t>
      </w:r>
      <w:r>
        <w:fldChar w:fldCharType="end"/>
      </w:r>
      <w:r>
        <w:fldChar w:fldCharType="end"/>
      </w:r>
    </w:p>
    <w:p w14:paraId="188B67FA">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"_Toc178172369" </w:instrText>
      </w:r>
      <w:r>
        <w:fldChar w:fldCharType="separate"/>
      </w:r>
      <w:r>
        <w:rPr>
          <w:rStyle w:val="34"/>
        </w:rPr>
        <w:t>附录D（资料性）  岩土体测试项目及成果参数表</w:t>
      </w:r>
      <w:r>
        <w:tab/>
      </w:r>
      <w:r>
        <w:fldChar w:fldCharType="begin"/>
      </w:r>
      <w:r>
        <w:instrText xml:space="preserve"> PAGEREF _Toc178172369 \h </w:instrText>
      </w:r>
      <w:r>
        <w:fldChar w:fldCharType="separate"/>
      </w:r>
      <w:r>
        <w:t>49</w:t>
      </w:r>
      <w:r>
        <w:fldChar w:fldCharType="end"/>
      </w:r>
      <w:r>
        <w:fldChar w:fldCharType="end"/>
      </w:r>
    </w:p>
    <w:p w14:paraId="37209CCB">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"_Toc178172370" </w:instrText>
      </w:r>
      <w:r>
        <w:fldChar w:fldCharType="separate"/>
      </w:r>
      <w:r>
        <w:rPr>
          <w:rStyle w:val="34"/>
        </w:rPr>
        <w:t>附录E（资料性）  岩土体的类型与结构</w:t>
      </w:r>
      <w:r>
        <w:tab/>
      </w:r>
      <w:r>
        <w:fldChar w:fldCharType="begin"/>
      </w:r>
      <w:r>
        <w:instrText xml:space="preserve"> PAGEREF _Toc178172370 \h </w:instrText>
      </w:r>
      <w:r>
        <w:fldChar w:fldCharType="separate"/>
      </w:r>
      <w:r>
        <w:t>51</w:t>
      </w:r>
      <w:r>
        <w:fldChar w:fldCharType="end"/>
      </w:r>
      <w:r>
        <w:fldChar w:fldCharType="end"/>
      </w:r>
    </w:p>
    <w:p w14:paraId="792BE059">
      <w:pPr>
        <w:pStyle w:val="25"/>
        <w:rPr>
          <w:rFonts w:asciiTheme="minorHAnsi" w:hAnsiTheme="minorHAnsi" w:eastAsiaTheme="minorEastAsia" w:cstheme="minorBidi"/>
          <w:szCs w:val="22"/>
        </w:rPr>
      </w:pPr>
      <w:r>
        <w:fldChar w:fldCharType="begin"/>
      </w:r>
      <w:r>
        <w:instrText xml:space="preserve"> HYPERLINK \l "_Toc178172371" </w:instrText>
      </w:r>
      <w:r>
        <w:fldChar w:fldCharType="separate"/>
      </w:r>
      <w:r>
        <w:rPr>
          <w:rStyle w:val="34"/>
        </w:rPr>
        <w:t>E.1  土体的类型与结构</w:t>
      </w:r>
      <w:r>
        <w:tab/>
      </w:r>
      <w:r>
        <w:fldChar w:fldCharType="begin"/>
      </w:r>
      <w:r>
        <w:instrText xml:space="preserve"> PAGEREF _Toc178172371 \h </w:instrText>
      </w:r>
      <w:r>
        <w:fldChar w:fldCharType="separate"/>
      </w:r>
      <w:r>
        <w:t>51</w:t>
      </w:r>
      <w:r>
        <w:fldChar w:fldCharType="end"/>
      </w:r>
      <w:r>
        <w:fldChar w:fldCharType="end"/>
      </w:r>
    </w:p>
    <w:p w14:paraId="234AB6E9">
      <w:pPr>
        <w:pStyle w:val="25"/>
        <w:rPr>
          <w:rFonts w:asciiTheme="minorHAnsi" w:hAnsiTheme="minorHAnsi" w:eastAsiaTheme="minorEastAsia" w:cstheme="minorBidi"/>
          <w:szCs w:val="22"/>
        </w:rPr>
      </w:pPr>
      <w:r>
        <w:fldChar w:fldCharType="begin"/>
      </w:r>
      <w:r>
        <w:instrText xml:space="preserve"> HYPERLINK \l "_Toc178172372" </w:instrText>
      </w:r>
      <w:r>
        <w:fldChar w:fldCharType="separate"/>
      </w:r>
      <w:r>
        <w:rPr>
          <w:rStyle w:val="34"/>
        </w:rPr>
        <w:t>E.2  岩体的类型与结构</w:t>
      </w:r>
      <w:r>
        <w:tab/>
      </w:r>
      <w:r>
        <w:fldChar w:fldCharType="begin"/>
      </w:r>
      <w:r>
        <w:instrText xml:space="preserve"> PAGEREF _Toc178172372 \h </w:instrText>
      </w:r>
      <w:r>
        <w:fldChar w:fldCharType="separate"/>
      </w:r>
      <w:r>
        <w:t>52</w:t>
      </w:r>
      <w:r>
        <w:fldChar w:fldCharType="end"/>
      </w:r>
      <w:r>
        <w:fldChar w:fldCharType="end"/>
      </w:r>
    </w:p>
    <w:p w14:paraId="0457D6CC">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"_Toc178172373" </w:instrText>
      </w:r>
      <w:r>
        <w:fldChar w:fldCharType="separate"/>
      </w:r>
      <w:r>
        <w:rPr>
          <w:rStyle w:val="34"/>
        </w:rPr>
        <w:t>附录F（资料性）  工程地质岩组及岩石风化程度划分</w:t>
      </w:r>
      <w:r>
        <w:tab/>
      </w:r>
      <w:r>
        <w:fldChar w:fldCharType="begin"/>
      </w:r>
      <w:r>
        <w:instrText xml:space="preserve"> PAGEREF _Toc178172373 \h </w:instrText>
      </w:r>
      <w:r>
        <w:fldChar w:fldCharType="separate"/>
      </w:r>
      <w:r>
        <w:t>53</w:t>
      </w:r>
      <w:r>
        <w:fldChar w:fldCharType="end"/>
      </w:r>
      <w:r>
        <w:fldChar w:fldCharType="end"/>
      </w:r>
    </w:p>
    <w:p w14:paraId="38D814E5">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"_Toc178172374" </w:instrText>
      </w:r>
      <w:r>
        <w:fldChar w:fldCharType="separate"/>
      </w:r>
      <w:r>
        <w:rPr>
          <w:rStyle w:val="34"/>
        </w:rPr>
        <w:t>附录G（资料性）  斜坡结构类型划分方案</w:t>
      </w:r>
      <w:r>
        <w:tab/>
      </w:r>
      <w:r>
        <w:fldChar w:fldCharType="begin"/>
      </w:r>
      <w:r>
        <w:instrText xml:space="preserve"> PAGEREF _Toc178172374 \h </w:instrText>
      </w:r>
      <w:r>
        <w:fldChar w:fldCharType="separate"/>
      </w:r>
      <w:r>
        <w:t>55</w:t>
      </w:r>
      <w:r>
        <w:fldChar w:fldCharType="end"/>
      </w:r>
      <w:r>
        <w:fldChar w:fldCharType="end"/>
      </w:r>
    </w:p>
    <w:p w14:paraId="54A6654A">
      <w:pPr>
        <w:pStyle w:val="25"/>
        <w:rPr>
          <w:rFonts w:asciiTheme="minorHAnsi" w:hAnsiTheme="minorHAnsi" w:eastAsiaTheme="minorEastAsia" w:cstheme="minorBidi"/>
          <w:szCs w:val="22"/>
        </w:rPr>
      </w:pPr>
      <w:r>
        <w:fldChar w:fldCharType="begin"/>
      </w:r>
      <w:r>
        <w:instrText xml:space="preserve"> HYPERLINK \l "_Toc178172375" </w:instrText>
      </w:r>
      <w:r>
        <w:fldChar w:fldCharType="separate"/>
      </w:r>
      <w:r>
        <w:rPr>
          <w:rStyle w:val="34"/>
        </w:rPr>
        <w:t>G.1  一级划分</w:t>
      </w:r>
      <w:r>
        <w:tab/>
      </w:r>
      <w:r>
        <w:fldChar w:fldCharType="begin"/>
      </w:r>
      <w:r>
        <w:instrText xml:space="preserve"> PAGEREF _Toc178172375 \h </w:instrText>
      </w:r>
      <w:r>
        <w:fldChar w:fldCharType="separate"/>
      </w:r>
      <w:r>
        <w:t>55</w:t>
      </w:r>
      <w:r>
        <w:fldChar w:fldCharType="end"/>
      </w:r>
      <w:r>
        <w:fldChar w:fldCharType="end"/>
      </w:r>
    </w:p>
    <w:p w14:paraId="0E88A865">
      <w:pPr>
        <w:pStyle w:val="25"/>
        <w:rPr>
          <w:rFonts w:asciiTheme="minorHAnsi" w:hAnsiTheme="minorHAnsi" w:eastAsiaTheme="minorEastAsia" w:cstheme="minorBidi"/>
          <w:szCs w:val="22"/>
        </w:rPr>
      </w:pPr>
      <w:r>
        <w:fldChar w:fldCharType="begin"/>
      </w:r>
      <w:r>
        <w:instrText xml:space="preserve"> HYPERLINK \l "_Toc178172376" </w:instrText>
      </w:r>
      <w:r>
        <w:fldChar w:fldCharType="separate"/>
      </w:r>
      <w:r>
        <w:rPr>
          <w:rStyle w:val="34"/>
        </w:rPr>
        <w:t>G.2  二级划分</w:t>
      </w:r>
      <w:r>
        <w:tab/>
      </w:r>
      <w:r>
        <w:fldChar w:fldCharType="begin"/>
      </w:r>
      <w:r>
        <w:instrText xml:space="preserve"> PAGEREF _Toc178172376 \h </w:instrText>
      </w:r>
      <w:r>
        <w:fldChar w:fldCharType="separate"/>
      </w:r>
      <w:r>
        <w:t>55</w:t>
      </w:r>
      <w:r>
        <w:fldChar w:fldCharType="end"/>
      </w:r>
      <w:r>
        <w:fldChar w:fldCharType="end"/>
      </w:r>
    </w:p>
    <w:p w14:paraId="2BB0DC5F">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"_Toc178172377" </w:instrText>
      </w:r>
      <w:r>
        <w:fldChar w:fldCharType="separate"/>
      </w:r>
      <w:r>
        <w:rPr>
          <w:rStyle w:val="34"/>
        </w:rPr>
        <w:t>附录H（规范性）  地质灾害分类表</w:t>
      </w:r>
      <w:r>
        <w:tab/>
      </w:r>
      <w:r>
        <w:fldChar w:fldCharType="begin"/>
      </w:r>
      <w:r>
        <w:instrText xml:space="preserve"> PAGEREF _Toc178172377 \h </w:instrText>
      </w:r>
      <w:r>
        <w:fldChar w:fldCharType="separate"/>
      </w:r>
      <w:r>
        <w:t>56</w:t>
      </w:r>
      <w:r>
        <w:fldChar w:fldCharType="end"/>
      </w:r>
      <w:r>
        <w:fldChar w:fldCharType="end"/>
      </w:r>
    </w:p>
    <w:p w14:paraId="3B02EC66">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"_Toc178172378" </w:instrText>
      </w:r>
      <w:r>
        <w:fldChar w:fldCharType="separate"/>
      </w:r>
      <w:r>
        <w:rPr>
          <w:rStyle w:val="34"/>
        </w:rPr>
        <w:t>附录I（资料性）  地质灾害风险评价方法</w:t>
      </w:r>
      <w:r>
        <w:tab/>
      </w:r>
      <w:r>
        <w:fldChar w:fldCharType="begin"/>
      </w:r>
      <w:r>
        <w:instrText xml:space="preserve"> PAGEREF _Toc178172378 \h </w:instrText>
      </w:r>
      <w:r>
        <w:fldChar w:fldCharType="separate"/>
      </w:r>
      <w:r>
        <w:t>60</w:t>
      </w:r>
      <w:r>
        <w:fldChar w:fldCharType="end"/>
      </w:r>
      <w:r>
        <w:fldChar w:fldCharType="end"/>
      </w:r>
    </w:p>
    <w:p w14:paraId="7A33CE42">
      <w:pPr>
        <w:pStyle w:val="25"/>
        <w:rPr>
          <w:rFonts w:asciiTheme="minorHAnsi" w:hAnsiTheme="minorHAnsi" w:eastAsiaTheme="minorEastAsia" w:cstheme="minorBidi"/>
          <w:szCs w:val="22"/>
        </w:rPr>
      </w:pPr>
      <w:r>
        <w:fldChar w:fldCharType="begin"/>
      </w:r>
      <w:r>
        <w:instrText xml:space="preserve"> HYPERLINK \l "_Toc178172379" </w:instrText>
      </w:r>
      <w:r>
        <w:fldChar w:fldCharType="separate"/>
      </w:r>
      <w:r>
        <w:rPr>
          <w:rStyle w:val="34"/>
        </w:rPr>
        <w:t>I.1  易发性评价</w:t>
      </w:r>
      <w:r>
        <w:tab/>
      </w:r>
      <w:r>
        <w:fldChar w:fldCharType="begin"/>
      </w:r>
      <w:r>
        <w:instrText xml:space="preserve"> PAGEREF _Toc178172379 \h </w:instrText>
      </w:r>
      <w:r>
        <w:fldChar w:fldCharType="separate"/>
      </w:r>
      <w:r>
        <w:t>60</w:t>
      </w:r>
      <w:r>
        <w:fldChar w:fldCharType="end"/>
      </w:r>
      <w:r>
        <w:fldChar w:fldCharType="end"/>
      </w:r>
    </w:p>
    <w:p w14:paraId="307CA59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"_Toc178172380" </w:instrText>
      </w:r>
      <w:r>
        <w:fldChar w:fldCharType="separate"/>
      </w:r>
      <w:r>
        <w:rPr>
          <w:rStyle w:val="34"/>
        </w:rPr>
        <w:t>I.1.1  滑坡、崩塌易发性评价</w:t>
      </w:r>
      <w:r>
        <w:tab/>
      </w:r>
      <w:r>
        <w:fldChar w:fldCharType="begin"/>
      </w:r>
      <w:r>
        <w:instrText xml:space="preserve"> PAGEREF _Toc178172380 \h </w:instrText>
      </w:r>
      <w:r>
        <w:fldChar w:fldCharType="separate"/>
      </w:r>
      <w:r>
        <w:t>60</w:t>
      </w:r>
      <w:r>
        <w:fldChar w:fldCharType="end"/>
      </w:r>
      <w:r>
        <w:fldChar w:fldCharType="end"/>
      </w:r>
    </w:p>
    <w:p w14:paraId="38E8CBF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"_Toc178172381" </w:instrText>
      </w:r>
      <w:r>
        <w:fldChar w:fldCharType="separate"/>
      </w:r>
      <w:r>
        <w:rPr>
          <w:rStyle w:val="34"/>
        </w:rPr>
        <w:t>I.1.2  泥石流易发性评价</w:t>
      </w:r>
      <w:r>
        <w:tab/>
      </w:r>
      <w:r>
        <w:fldChar w:fldCharType="begin"/>
      </w:r>
      <w:r>
        <w:instrText xml:space="preserve"> PAGEREF _Toc178172381 \h </w:instrText>
      </w:r>
      <w:r>
        <w:fldChar w:fldCharType="separate"/>
      </w:r>
      <w:r>
        <w:t>64</w:t>
      </w:r>
      <w:r>
        <w:fldChar w:fldCharType="end"/>
      </w:r>
      <w:r>
        <w:fldChar w:fldCharType="end"/>
      </w:r>
    </w:p>
    <w:p w14:paraId="55E4F10F">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"_Toc178172382" </w:instrText>
      </w:r>
      <w:r>
        <w:fldChar w:fldCharType="separate"/>
      </w:r>
      <w:r>
        <w:rPr>
          <w:rStyle w:val="34"/>
        </w:rPr>
        <w:t>I.1.3  地面塌陷易发性评价</w:t>
      </w:r>
      <w:r>
        <w:tab/>
      </w:r>
      <w:r>
        <w:fldChar w:fldCharType="begin"/>
      </w:r>
      <w:r>
        <w:instrText xml:space="preserve"> PAGEREF _Toc178172382 \h </w:instrText>
      </w:r>
      <w:r>
        <w:fldChar w:fldCharType="separate"/>
      </w:r>
      <w:r>
        <w:t>65</w:t>
      </w:r>
      <w:r>
        <w:fldChar w:fldCharType="end"/>
      </w:r>
      <w:r>
        <w:fldChar w:fldCharType="end"/>
      </w:r>
    </w:p>
    <w:p w14:paraId="4B00A6BD">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"_Toc178172383" </w:instrText>
      </w:r>
      <w:r>
        <w:fldChar w:fldCharType="separate"/>
      </w:r>
      <w:r>
        <w:rPr>
          <w:rStyle w:val="34"/>
          <w:lang w:val="en-GB"/>
        </w:rPr>
        <w:t xml:space="preserve">I.1.4 </w:t>
      </w:r>
      <w:r>
        <w:rPr>
          <w:rStyle w:val="34"/>
        </w:rPr>
        <w:t xml:space="preserve"> 地裂缝易发程度评价</w:t>
      </w:r>
      <w:r>
        <w:tab/>
      </w:r>
      <w:r>
        <w:fldChar w:fldCharType="begin"/>
      </w:r>
      <w:r>
        <w:instrText xml:space="preserve"> PAGEREF _Toc178172383 \h </w:instrText>
      </w:r>
      <w:r>
        <w:fldChar w:fldCharType="separate"/>
      </w:r>
      <w:r>
        <w:t>67</w:t>
      </w:r>
      <w:r>
        <w:fldChar w:fldCharType="end"/>
      </w:r>
      <w:r>
        <w:fldChar w:fldCharType="end"/>
      </w:r>
    </w:p>
    <w:p w14:paraId="730975C7">
      <w:pPr>
        <w:pStyle w:val="25"/>
        <w:rPr>
          <w:rFonts w:asciiTheme="minorHAnsi" w:hAnsiTheme="minorHAnsi" w:eastAsiaTheme="minorEastAsia" w:cstheme="minorBidi"/>
          <w:szCs w:val="22"/>
        </w:rPr>
      </w:pPr>
      <w:r>
        <w:fldChar w:fldCharType="begin"/>
      </w:r>
      <w:r>
        <w:instrText xml:space="preserve"> HYPERLINK \l "_Toc178172384" </w:instrText>
      </w:r>
      <w:r>
        <w:fldChar w:fldCharType="separate"/>
      </w:r>
      <w:r>
        <w:rPr>
          <w:rStyle w:val="34"/>
        </w:rPr>
        <w:t>I.2  危险性评价</w:t>
      </w:r>
      <w:r>
        <w:tab/>
      </w:r>
      <w:r>
        <w:fldChar w:fldCharType="begin"/>
      </w:r>
      <w:r>
        <w:instrText xml:space="preserve"> PAGEREF _Toc178172384 \h </w:instrText>
      </w:r>
      <w:r>
        <w:fldChar w:fldCharType="separate"/>
      </w:r>
      <w:r>
        <w:t>68</w:t>
      </w:r>
      <w:r>
        <w:fldChar w:fldCharType="end"/>
      </w:r>
      <w:r>
        <w:fldChar w:fldCharType="end"/>
      </w:r>
    </w:p>
    <w:p w14:paraId="4CF83A52">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"_Toc178172385" </w:instrText>
      </w:r>
      <w:r>
        <w:fldChar w:fldCharType="separate"/>
      </w:r>
      <w:r>
        <w:rPr>
          <w:rStyle w:val="34"/>
        </w:rPr>
        <w:t>I.2.1  滑坡、崩塌、泥石流地质灾害</w:t>
      </w:r>
      <w:r>
        <w:tab/>
      </w:r>
      <w:r>
        <w:fldChar w:fldCharType="begin"/>
      </w:r>
      <w:r>
        <w:instrText xml:space="preserve"> PAGEREF _Toc178172385 \h </w:instrText>
      </w:r>
      <w:r>
        <w:fldChar w:fldCharType="separate"/>
      </w:r>
      <w:r>
        <w:t>68</w:t>
      </w:r>
      <w:r>
        <w:fldChar w:fldCharType="end"/>
      </w:r>
      <w:r>
        <w:fldChar w:fldCharType="end"/>
      </w:r>
    </w:p>
    <w:p w14:paraId="69E22C56">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"_Toc178172386" </w:instrText>
      </w:r>
      <w:r>
        <w:fldChar w:fldCharType="separate"/>
      </w:r>
      <w:r>
        <w:rPr>
          <w:rStyle w:val="34"/>
        </w:rPr>
        <w:t>I.2.2  地面塌陷地质灾害</w:t>
      </w:r>
      <w:r>
        <w:tab/>
      </w:r>
      <w:r>
        <w:fldChar w:fldCharType="begin"/>
      </w:r>
      <w:r>
        <w:instrText xml:space="preserve"> PAGEREF _Toc178172386 \h </w:instrText>
      </w:r>
      <w:r>
        <w:fldChar w:fldCharType="separate"/>
      </w:r>
      <w:r>
        <w:t>68</w:t>
      </w:r>
      <w:r>
        <w:fldChar w:fldCharType="end"/>
      </w:r>
      <w:r>
        <w:fldChar w:fldCharType="end"/>
      </w:r>
    </w:p>
    <w:p w14:paraId="24CBC333">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"_Toc178172387" </w:instrText>
      </w:r>
      <w:r>
        <w:fldChar w:fldCharType="separate"/>
      </w:r>
      <w:r>
        <w:rPr>
          <w:rStyle w:val="34"/>
        </w:rPr>
        <w:t>I.2.3  地裂缝地质灾害</w:t>
      </w:r>
      <w:r>
        <w:tab/>
      </w:r>
      <w:r>
        <w:fldChar w:fldCharType="begin"/>
      </w:r>
      <w:r>
        <w:instrText xml:space="preserve"> PAGEREF _Toc178172387 \h </w:instrText>
      </w:r>
      <w:r>
        <w:fldChar w:fldCharType="separate"/>
      </w:r>
      <w:r>
        <w:t>69</w:t>
      </w:r>
      <w:r>
        <w:fldChar w:fldCharType="end"/>
      </w:r>
      <w:r>
        <w:fldChar w:fldCharType="end"/>
      </w:r>
    </w:p>
    <w:p w14:paraId="380C3AD8">
      <w:pPr>
        <w:pStyle w:val="25"/>
        <w:rPr>
          <w:rFonts w:asciiTheme="minorHAnsi" w:hAnsiTheme="minorHAnsi" w:eastAsiaTheme="minorEastAsia" w:cstheme="minorBidi"/>
          <w:szCs w:val="22"/>
        </w:rPr>
      </w:pPr>
      <w:r>
        <w:fldChar w:fldCharType="begin"/>
      </w:r>
      <w:r>
        <w:instrText xml:space="preserve"> HYPERLINK \l "_Toc178172388" </w:instrText>
      </w:r>
      <w:r>
        <w:fldChar w:fldCharType="separate"/>
      </w:r>
      <w:r>
        <w:rPr>
          <w:rStyle w:val="34"/>
        </w:rPr>
        <w:t>I.3  易损性评价</w:t>
      </w:r>
      <w:r>
        <w:tab/>
      </w:r>
      <w:r>
        <w:fldChar w:fldCharType="begin"/>
      </w:r>
      <w:r>
        <w:instrText xml:space="preserve"> PAGEREF _Toc178172388 \h </w:instrText>
      </w:r>
      <w:r>
        <w:fldChar w:fldCharType="separate"/>
      </w:r>
      <w:r>
        <w:t>71</w:t>
      </w:r>
      <w:r>
        <w:fldChar w:fldCharType="end"/>
      </w:r>
      <w:r>
        <w:fldChar w:fldCharType="end"/>
      </w:r>
    </w:p>
    <w:p w14:paraId="483A369A">
      <w:pPr>
        <w:pStyle w:val="25"/>
        <w:rPr>
          <w:rFonts w:asciiTheme="minorHAnsi" w:hAnsiTheme="minorHAnsi" w:eastAsiaTheme="minorEastAsia" w:cstheme="minorBidi"/>
          <w:szCs w:val="22"/>
        </w:rPr>
      </w:pPr>
      <w:r>
        <w:fldChar w:fldCharType="begin"/>
      </w:r>
      <w:r>
        <w:instrText xml:space="preserve"> HYPERLINK \l "_Toc178172389" </w:instrText>
      </w:r>
      <w:r>
        <w:fldChar w:fldCharType="separate"/>
      </w:r>
      <w:r>
        <w:rPr>
          <w:rStyle w:val="34"/>
        </w:rPr>
        <w:t>I.4  斜坡稳定性评价方法</w:t>
      </w:r>
      <w:r>
        <w:tab/>
      </w:r>
      <w:r>
        <w:fldChar w:fldCharType="begin"/>
      </w:r>
      <w:r>
        <w:instrText xml:space="preserve"> PAGEREF _Toc178172389 \h </w:instrText>
      </w:r>
      <w:r>
        <w:fldChar w:fldCharType="separate"/>
      </w:r>
      <w:r>
        <w:t>71</w:t>
      </w:r>
      <w:r>
        <w:fldChar w:fldCharType="end"/>
      </w:r>
      <w:r>
        <w:fldChar w:fldCharType="end"/>
      </w:r>
    </w:p>
    <w:p w14:paraId="7C4D8C61">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"_Toc178172390" </w:instrText>
      </w:r>
      <w:r>
        <w:fldChar w:fldCharType="separate"/>
      </w:r>
      <w:r>
        <w:rPr>
          <w:rStyle w:val="34"/>
        </w:rPr>
        <w:t>I.4.1  定性评价</w:t>
      </w:r>
      <w:r>
        <w:tab/>
      </w:r>
      <w:r>
        <w:fldChar w:fldCharType="begin"/>
      </w:r>
      <w:r>
        <w:instrText xml:space="preserve"> PAGEREF _Toc178172390 \h </w:instrText>
      </w:r>
      <w:r>
        <w:fldChar w:fldCharType="separate"/>
      </w:r>
      <w:r>
        <w:t>71</w:t>
      </w:r>
      <w:r>
        <w:fldChar w:fldCharType="end"/>
      </w:r>
      <w:r>
        <w:fldChar w:fldCharType="end"/>
      </w:r>
    </w:p>
    <w:p w14:paraId="460F6EA8">
      <w:pPr>
        <w:pStyle w:val="15"/>
        <w:tabs>
          <w:tab w:val="right" w:leader="dot" w:pos="9344"/>
        </w:tabs>
        <w:rPr>
          <w:rFonts w:asciiTheme="minorHAnsi" w:hAnsiTheme="minorHAnsi" w:eastAsiaTheme="minorEastAsia" w:cstheme="minorBidi"/>
          <w:szCs w:val="22"/>
        </w:rPr>
      </w:pPr>
      <w:r>
        <w:fldChar w:fldCharType="begin"/>
      </w:r>
      <w:r>
        <w:instrText xml:space="preserve"> HYPERLINK \l "_Toc178172391" </w:instrText>
      </w:r>
      <w:r>
        <w:fldChar w:fldCharType="separate"/>
      </w:r>
      <w:r>
        <w:rPr>
          <w:rStyle w:val="34"/>
        </w:rPr>
        <w:t>I.4.2  定量分析</w:t>
      </w:r>
      <w:r>
        <w:tab/>
      </w:r>
      <w:r>
        <w:fldChar w:fldCharType="begin"/>
      </w:r>
      <w:r>
        <w:instrText xml:space="preserve"> PAGEREF _Toc178172391 \h </w:instrText>
      </w:r>
      <w:r>
        <w:fldChar w:fldCharType="separate"/>
      </w:r>
      <w:r>
        <w:t>72</w:t>
      </w:r>
      <w:r>
        <w:fldChar w:fldCharType="end"/>
      </w:r>
      <w:r>
        <w:fldChar w:fldCharType="end"/>
      </w:r>
    </w:p>
    <w:p w14:paraId="591501F7">
      <w:pPr>
        <w:pStyle w:val="25"/>
        <w:rPr>
          <w:rFonts w:asciiTheme="minorHAnsi" w:hAnsiTheme="minorHAnsi" w:eastAsiaTheme="minorEastAsia" w:cstheme="minorBidi"/>
          <w:szCs w:val="22"/>
        </w:rPr>
      </w:pPr>
      <w:r>
        <w:fldChar w:fldCharType="begin"/>
      </w:r>
      <w:r>
        <w:instrText xml:space="preserve"> HYPERLINK \l "_Toc178172392" </w:instrText>
      </w:r>
      <w:r>
        <w:fldChar w:fldCharType="separate"/>
      </w:r>
      <w:r>
        <w:rPr>
          <w:rStyle w:val="34"/>
        </w:rPr>
        <w:t>I.5  滑坡或崩塌潜在威胁范围确定方法</w:t>
      </w:r>
      <w:r>
        <w:tab/>
      </w:r>
      <w:r>
        <w:fldChar w:fldCharType="begin"/>
      </w:r>
      <w:r>
        <w:instrText xml:space="preserve"> PAGEREF _Toc178172392 \h </w:instrText>
      </w:r>
      <w:r>
        <w:fldChar w:fldCharType="separate"/>
      </w:r>
      <w:r>
        <w:t>74</w:t>
      </w:r>
      <w:r>
        <w:fldChar w:fldCharType="end"/>
      </w:r>
      <w:r>
        <w:fldChar w:fldCharType="end"/>
      </w:r>
    </w:p>
    <w:p w14:paraId="15F93FE4">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"_Toc178172393" </w:instrText>
      </w:r>
      <w:r>
        <w:fldChar w:fldCharType="separate"/>
      </w:r>
      <w:r>
        <w:rPr>
          <w:rStyle w:val="34"/>
        </w:rPr>
        <w:t>附录J（资料性）  降雨阈值研究的主要方法</w:t>
      </w:r>
      <w:r>
        <w:tab/>
      </w:r>
      <w:r>
        <w:fldChar w:fldCharType="begin"/>
      </w:r>
      <w:r>
        <w:instrText xml:space="preserve"> PAGEREF _Toc178172393 \h </w:instrText>
      </w:r>
      <w:r>
        <w:fldChar w:fldCharType="separate"/>
      </w:r>
      <w:r>
        <w:t>75</w:t>
      </w:r>
      <w:r>
        <w:fldChar w:fldCharType="end"/>
      </w:r>
      <w:r>
        <w:fldChar w:fldCharType="end"/>
      </w:r>
    </w:p>
    <w:p w14:paraId="1614DB88">
      <w:pPr>
        <w:pStyle w:val="25"/>
        <w:rPr>
          <w:rFonts w:asciiTheme="minorHAnsi" w:hAnsiTheme="minorHAnsi" w:eastAsiaTheme="minorEastAsia" w:cstheme="minorBidi"/>
          <w:szCs w:val="22"/>
        </w:rPr>
      </w:pPr>
      <w:r>
        <w:fldChar w:fldCharType="begin"/>
      </w:r>
      <w:r>
        <w:instrText xml:space="preserve"> HYPERLINK \l "_Toc178172394" </w:instrText>
      </w:r>
      <w:r>
        <w:fldChar w:fldCharType="separate"/>
      </w:r>
      <w:r>
        <w:rPr>
          <w:rStyle w:val="34"/>
        </w:rPr>
        <w:t>J.1  基于过程降雨的统计学方法的降雨阈值</w:t>
      </w:r>
      <w:r>
        <w:tab/>
      </w:r>
      <w:r>
        <w:fldChar w:fldCharType="begin"/>
      </w:r>
      <w:r>
        <w:instrText xml:space="preserve"> PAGEREF _Toc178172394 \h </w:instrText>
      </w:r>
      <w:r>
        <w:fldChar w:fldCharType="separate"/>
      </w:r>
      <w:r>
        <w:t>75</w:t>
      </w:r>
      <w:r>
        <w:fldChar w:fldCharType="end"/>
      </w:r>
      <w:r>
        <w:fldChar w:fldCharType="end"/>
      </w:r>
    </w:p>
    <w:p w14:paraId="3936B1BF">
      <w:pPr>
        <w:pStyle w:val="25"/>
        <w:rPr>
          <w:rFonts w:asciiTheme="minorHAnsi" w:hAnsiTheme="minorHAnsi" w:eastAsiaTheme="minorEastAsia" w:cstheme="minorBidi"/>
          <w:szCs w:val="22"/>
        </w:rPr>
      </w:pPr>
      <w:r>
        <w:fldChar w:fldCharType="begin"/>
      </w:r>
      <w:r>
        <w:instrText xml:space="preserve"> HYPERLINK \l "_Toc178172395" </w:instrText>
      </w:r>
      <w:r>
        <w:fldChar w:fldCharType="separate"/>
      </w:r>
      <w:r>
        <w:rPr>
          <w:rStyle w:val="34"/>
        </w:rPr>
        <w:t>J.2  基于前期降雨的统计学方法降雨阈值</w:t>
      </w:r>
      <w:r>
        <w:tab/>
      </w:r>
      <w:r>
        <w:fldChar w:fldCharType="begin"/>
      </w:r>
      <w:r>
        <w:instrText xml:space="preserve"> PAGEREF _Toc178172395 \h </w:instrText>
      </w:r>
      <w:r>
        <w:fldChar w:fldCharType="separate"/>
      </w:r>
      <w:r>
        <w:t>75</w:t>
      </w:r>
      <w:r>
        <w:fldChar w:fldCharType="end"/>
      </w:r>
      <w:r>
        <w:fldChar w:fldCharType="end"/>
      </w:r>
    </w:p>
    <w:p w14:paraId="024DAEDA">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"_Toc178172396" </w:instrText>
      </w:r>
      <w:r>
        <w:fldChar w:fldCharType="separate"/>
      </w:r>
      <w:r>
        <w:rPr>
          <w:rStyle w:val="34"/>
        </w:rPr>
        <w:t>附录K（资料性）  地质灾害风险区风险管控图册编制要求</w:t>
      </w:r>
      <w:r>
        <w:tab/>
      </w:r>
      <w:r>
        <w:fldChar w:fldCharType="begin"/>
      </w:r>
      <w:r>
        <w:instrText xml:space="preserve"> PAGEREF _Toc178172396 \h </w:instrText>
      </w:r>
      <w:r>
        <w:fldChar w:fldCharType="separate"/>
      </w:r>
      <w:r>
        <w:t>77</w:t>
      </w:r>
      <w:r>
        <w:fldChar w:fldCharType="end"/>
      </w:r>
      <w:r>
        <w:fldChar w:fldCharType="end"/>
      </w:r>
    </w:p>
    <w:p w14:paraId="79399917">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"_Toc178172397" </w:instrText>
      </w:r>
      <w:r>
        <w:fldChar w:fldCharType="separate"/>
      </w:r>
      <w:r>
        <w:rPr>
          <w:rStyle w:val="34"/>
        </w:rPr>
        <w:t>附录L（资料性）  设计书编写提纲</w:t>
      </w:r>
      <w:r>
        <w:tab/>
      </w:r>
      <w:r>
        <w:fldChar w:fldCharType="begin"/>
      </w:r>
      <w:r>
        <w:instrText xml:space="preserve"> PAGEREF _Toc178172397 \h </w:instrText>
      </w:r>
      <w:r>
        <w:fldChar w:fldCharType="separate"/>
      </w:r>
      <w:r>
        <w:t>79</w:t>
      </w:r>
      <w:r>
        <w:fldChar w:fldCharType="end"/>
      </w:r>
      <w:r>
        <w:fldChar w:fldCharType="end"/>
      </w:r>
    </w:p>
    <w:p w14:paraId="31B2F488">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"_Toc178172398" </w:instrText>
      </w:r>
      <w:r>
        <w:fldChar w:fldCharType="separate"/>
      </w:r>
      <w:r>
        <w:rPr>
          <w:rStyle w:val="34"/>
        </w:rPr>
        <w:t>附录M（资料性）  野外工作总结报告编写提纲</w:t>
      </w:r>
      <w:r>
        <w:tab/>
      </w:r>
      <w:r>
        <w:fldChar w:fldCharType="begin"/>
      </w:r>
      <w:r>
        <w:instrText xml:space="preserve"> PAGEREF _Toc178172398 \h </w:instrText>
      </w:r>
      <w:r>
        <w:fldChar w:fldCharType="separate"/>
      </w:r>
      <w:r>
        <w:t>81</w:t>
      </w:r>
      <w:r>
        <w:fldChar w:fldCharType="end"/>
      </w:r>
      <w:r>
        <w:fldChar w:fldCharType="end"/>
      </w:r>
    </w:p>
    <w:p w14:paraId="395BC279">
      <w:pPr>
        <w:pStyle w:val="20"/>
        <w:tabs>
          <w:tab w:val="right" w:leader="dot" w:pos="9344"/>
        </w:tabs>
        <w:rPr>
          <w:rFonts w:asciiTheme="minorHAnsi" w:hAnsiTheme="minorHAnsi" w:eastAsiaTheme="minorEastAsia" w:cstheme="minorBidi"/>
          <w:szCs w:val="22"/>
        </w:rPr>
      </w:pPr>
      <w:r>
        <w:fldChar w:fldCharType="begin"/>
      </w:r>
      <w:r>
        <w:instrText xml:space="preserve"> HYPERLINK \l "_Toc178172399" </w:instrText>
      </w:r>
      <w:r>
        <w:fldChar w:fldCharType="separate"/>
      </w:r>
      <w:r>
        <w:rPr>
          <w:rStyle w:val="34"/>
        </w:rPr>
        <w:t>附录N（资料性）  成果报告编写提纲</w:t>
      </w:r>
      <w:r>
        <w:tab/>
      </w:r>
      <w:r>
        <w:fldChar w:fldCharType="begin"/>
      </w:r>
      <w:r>
        <w:instrText xml:space="preserve"> PAGEREF _Toc178172399 \h </w:instrText>
      </w:r>
      <w:r>
        <w:fldChar w:fldCharType="separate"/>
      </w:r>
      <w:r>
        <w:t>82</w:t>
      </w:r>
      <w:r>
        <w:fldChar w:fldCharType="end"/>
      </w:r>
      <w:r>
        <w:fldChar w:fldCharType="end"/>
      </w:r>
    </w:p>
    <w:p w14:paraId="535DC529">
      <w:pPr>
        <w:pStyle w:val="93"/>
        <w:spacing w:after="468"/>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14:paraId="29152C81">
      <w:pPr>
        <w:pStyle w:val="91"/>
        <w:spacing w:before="900" w:after="468"/>
      </w:pPr>
      <w:bookmarkStart w:id="23" w:name="_Toc178172266"/>
      <w:bookmarkStart w:id="24" w:name="BookMark2"/>
      <w:r>
        <w:rPr>
          <w:rFonts w:hint="eastAsia"/>
          <w:spacing w:val="320"/>
        </w:rPr>
        <w:t>前</w:t>
      </w:r>
      <w:r>
        <w:rPr>
          <w:rFonts w:hint="eastAsia"/>
        </w:rPr>
        <w:t>言</w:t>
      </w:r>
      <w:bookmarkEnd w:id="22"/>
      <w:bookmarkEnd w:id="23"/>
    </w:p>
    <w:p w14:paraId="4AC357D0">
      <w:pPr>
        <w:pStyle w:val="58"/>
        <w:ind w:firstLine="420"/>
      </w:pPr>
      <w:r>
        <w:rPr>
          <w:rFonts w:hint="eastAsia"/>
        </w:rPr>
        <w:t>本文件按照GB/T 1.1—2020《标准化工作导则  第1部分：标准化文件的结构和起草规则》的规定起草。</w:t>
      </w:r>
    </w:p>
    <w:p w14:paraId="13C1BC38">
      <w:pPr>
        <w:pStyle w:val="58"/>
        <w:ind w:firstLine="420"/>
      </w:pPr>
      <w:r>
        <w:rPr>
          <w:rFonts w:hint="eastAsia"/>
        </w:rPr>
        <w:t>本文件由浙江省自然资源厅、上海市规划和自然资源局、江苏省自然资源厅、安徽省自然资源厅提出并归口。</w:t>
      </w:r>
    </w:p>
    <w:p w14:paraId="267B2A18">
      <w:pPr>
        <w:pStyle w:val="58"/>
        <w:ind w:firstLine="420"/>
      </w:pPr>
      <w:r>
        <w:rPr>
          <w:rFonts w:hint="eastAsia"/>
        </w:rPr>
        <w:t>本文件起草单位：浙江省地质院、上海市地质调查研究院、江苏省地质调查研究院、安徽省地质环境监测总站。</w:t>
      </w:r>
      <w:bookmarkStart w:id="386" w:name="_GoBack"/>
      <w:bookmarkEnd w:id="386"/>
    </w:p>
    <w:p w14:paraId="401A5B42">
      <w:pPr>
        <w:pStyle w:val="58"/>
        <w:ind w:firstLine="420"/>
        <w:sectPr>
          <w:pgSz w:w="11906" w:h="16838"/>
          <w:pgMar w:top="1928" w:right="1134" w:bottom="1134" w:left="1134" w:header="1418" w:footer="1134" w:gutter="284"/>
          <w:pgNumType w:fmt="upperRoman"/>
          <w:cols w:space="425" w:num="1"/>
          <w:formProt w:val="0"/>
          <w:docGrid w:type="lines" w:linePitch="312" w:charSpace="0"/>
        </w:sectPr>
      </w:pPr>
    </w:p>
    <w:bookmarkEnd w:id="24"/>
    <w:p w14:paraId="5964D9CB">
      <w:pPr>
        <w:pStyle w:val="91"/>
        <w:spacing w:after="468"/>
      </w:pPr>
      <w:bookmarkStart w:id="25" w:name="_Toc176194063"/>
      <w:bookmarkStart w:id="26" w:name="_Toc178172267"/>
      <w:bookmarkStart w:id="27" w:name="BookMark3"/>
      <w:r>
        <w:rPr>
          <w:rFonts w:hint="eastAsia"/>
          <w:spacing w:val="320"/>
        </w:rPr>
        <w:t>引</w:t>
      </w:r>
      <w:r>
        <w:rPr>
          <w:rFonts w:hint="eastAsia"/>
        </w:rPr>
        <w:t>言</w:t>
      </w:r>
      <w:bookmarkEnd w:id="25"/>
      <w:bookmarkEnd w:id="26"/>
    </w:p>
    <w:p w14:paraId="42F7A3E1">
      <w:pPr>
        <w:pStyle w:val="58"/>
        <w:ind w:firstLine="420"/>
      </w:pPr>
      <w:r>
        <w:rPr>
          <w:rFonts w:hint="eastAsia"/>
        </w:rPr>
        <w:t>长三角区域是我国经济发展最活跃、开放程度最高、创新能力最强的区域之一。在国家现代化建设大局和全方位开放格局中具有举足轻重的战略地位。长三角区域地质环境条件复杂，受极端天气和人类工程活动影响，突发性地质灾害频发，也是地面沉降、地裂缝较为严重的区域之一。近年来，长三角区域开展了大量地质灾害基础性调查评价、监测预警、综合治理等工作，取得了显著成效。为实现地质灾害隐患管理向风险管控转变，支撑地质灾害“隐患点+风险区”双控管理，推进长三角区域地质灾害防治工作一体化和高质量发展，切实保障人民群众生命财产安全，需开展高精度地质灾害风险调查与评价。</w:t>
      </w:r>
    </w:p>
    <w:p w14:paraId="0E768357">
      <w:pPr>
        <w:pStyle w:val="58"/>
        <w:ind w:firstLine="420"/>
      </w:pPr>
      <w:r>
        <w:rPr>
          <w:rFonts w:hint="eastAsia"/>
        </w:rPr>
        <w:t>为规范长三角区域高精度地质灾害风险调查与评价工作，制定本文件。</w:t>
      </w:r>
    </w:p>
    <w:p w14:paraId="022794B8">
      <w:pPr>
        <w:pStyle w:val="58"/>
        <w:ind w:firstLine="420"/>
      </w:pPr>
    </w:p>
    <w:p w14:paraId="7280A562">
      <w:pPr>
        <w:pStyle w:val="58"/>
        <w:ind w:firstLine="420"/>
        <w:sectPr>
          <w:pgSz w:w="11906" w:h="16838"/>
          <w:pgMar w:top="1928" w:right="1134" w:bottom="1134" w:left="1134" w:header="1418" w:footer="1134" w:gutter="284"/>
          <w:pgNumType w:fmt="upperRoman"/>
          <w:cols w:space="425" w:num="1"/>
          <w:formProt w:val="0"/>
          <w:docGrid w:type="lines" w:linePitch="312" w:charSpace="0"/>
        </w:sectPr>
      </w:pPr>
    </w:p>
    <w:bookmarkEnd w:id="27"/>
    <w:p w14:paraId="668EAC58">
      <w:pPr>
        <w:spacing w:line="20" w:lineRule="exact"/>
        <w:jc w:val="center"/>
        <w:rPr>
          <w:rFonts w:ascii="黑体" w:hAnsi="黑体" w:eastAsia="黑体"/>
          <w:sz w:val="32"/>
          <w:szCs w:val="32"/>
        </w:rPr>
      </w:pPr>
      <w:bookmarkStart w:id="28" w:name="BookMark4"/>
    </w:p>
    <w:p w14:paraId="0A768D28">
      <w:pPr>
        <w:spacing w:line="20" w:lineRule="exact"/>
        <w:jc w:val="center"/>
        <w:rPr>
          <w:rFonts w:ascii="黑体" w:hAnsi="黑体" w:eastAsia="黑体"/>
          <w:sz w:val="32"/>
          <w:szCs w:val="32"/>
        </w:rPr>
      </w:pPr>
    </w:p>
    <w:sdt>
      <w:sdtPr>
        <w:tag w:val="NEW_STAND_NAME"/>
        <w:id w:val="595910757"/>
        <w:lock w:val="sdtLocked"/>
        <w:placeholder>
          <w:docPart w:val="F69C3A9D7B434EFC82236002ED9A95C4"/>
        </w:placeholder>
      </w:sdtPr>
      <w:sdtContent>
        <w:p w14:paraId="0111DB34">
          <w:pPr>
            <w:pStyle w:val="179"/>
            <w:spacing w:before="3" w:beforeLines="1" w:after="686" w:afterLines="220"/>
          </w:pPr>
          <w:bookmarkStart w:id="29" w:name="NEW_STAND_NAME"/>
          <w:r>
            <w:rPr>
              <w:rFonts w:hint="eastAsia"/>
            </w:rPr>
            <w:t>地质灾害风险调查与评价规范</w:t>
          </w:r>
        </w:p>
      </w:sdtContent>
    </w:sdt>
    <w:bookmarkEnd w:id="29"/>
    <w:p w14:paraId="2512F8B0">
      <w:pPr>
        <w:pStyle w:val="106"/>
        <w:spacing w:before="312" w:after="312"/>
      </w:pPr>
      <w:bookmarkStart w:id="30" w:name="_Toc17233325"/>
      <w:bookmarkStart w:id="31" w:name="_Toc24884211"/>
      <w:bookmarkStart w:id="32" w:name="_Toc17233333"/>
      <w:bookmarkStart w:id="33" w:name="_Toc24884218"/>
      <w:bookmarkStart w:id="34" w:name="_Toc178172268"/>
      <w:bookmarkStart w:id="35" w:name="_Toc97191423"/>
      <w:bookmarkStart w:id="36" w:name="_Toc26986530"/>
      <w:bookmarkStart w:id="37" w:name="_Toc176194064"/>
      <w:bookmarkStart w:id="38" w:name="_Toc26648465"/>
      <w:bookmarkStart w:id="39" w:name="_Toc26718930"/>
      <w:bookmarkStart w:id="40" w:name="_Toc26986771"/>
      <w:r>
        <w:rPr>
          <w:rFonts w:hint="eastAsia"/>
        </w:rPr>
        <w:t>范围</w:t>
      </w:r>
      <w:bookmarkEnd w:id="30"/>
      <w:bookmarkEnd w:id="31"/>
      <w:bookmarkEnd w:id="32"/>
      <w:bookmarkEnd w:id="33"/>
      <w:bookmarkEnd w:id="34"/>
      <w:bookmarkEnd w:id="35"/>
      <w:bookmarkEnd w:id="36"/>
      <w:bookmarkEnd w:id="37"/>
      <w:bookmarkEnd w:id="38"/>
      <w:bookmarkEnd w:id="39"/>
      <w:bookmarkEnd w:id="40"/>
    </w:p>
    <w:p w14:paraId="7A064273">
      <w:pPr>
        <w:pStyle w:val="58"/>
        <w:ind w:firstLine="420"/>
      </w:pPr>
      <w:bookmarkStart w:id="41" w:name="_Toc24884212"/>
      <w:bookmarkStart w:id="42" w:name="_Toc17233326"/>
      <w:bookmarkStart w:id="43" w:name="_Toc24884219"/>
      <w:bookmarkStart w:id="44" w:name="_Toc26648466"/>
      <w:bookmarkStart w:id="45" w:name="_Toc17233334"/>
      <w:r>
        <w:rPr>
          <w:rFonts w:hint="eastAsia"/>
        </w:rPr>
        <w:t>本文件规定了长三角区域（包括上海市、江苏省、浙江省、安徽省行政区全境）地质灾害风险调查与评价的目的任务、工作内容和精度、技术方法、成果编制的要求。</w:t>
      </w:r>
    </w:p>
    <w:p w14:paraId="63DB4483">
      <w:pPr>
        <w:pStyle w:val="58"/>
        <w:ind w:firstLine="420"/>
      </w:pPr>
      <w:r>
        <w:rPr>
          <w:rFonts w:hint="eastAsia"/>
        </w:rPr>
        <w:t>本文件适用于长三角区域以乡镇（街道）、村庄、开发园区（包括工业生态园区、旅游园区、科技园区）等为单元的滑坡、崩塌、泥石流、地面塌陷、地面沉降和地裂缝六类地质灾害风险调查与评价工作。</w:t>
      </w:r>
    </w:p>
    <w:p w14:paraId="6DE0535B">
      <w:pPr>
        <w:pStyle w:val="106"/>
        <w:spacing w:before="312" w:after="312"/>
      </w:pPr>
      <w:bookmarkStart w:id="46" w:name="_Toc26718931"/>
      <w:bookmarkStart w:id="47" w:name="_Toc176194065"/>
      <w:bookmarkStart w:id="48" w:name="_Toc97191424"/>
      <w:bookmarkStart w:id="49" w:name="_Toc26986531"/>
      <w:bookmarkStart w:id="50" w:name="_Toc178172269"/>
      <w:bookmarkStart w:id="51" w:name="_Toc26986772"/>
      <w:r>
        <w:rPr>
          <w:rFonts w:hint="eastAsia"/>
        </w:rPr>
        <w:t>规范性引用文件</w:t>
      </w:r>
      <w:bookmarkEnd w:id="41"/>
      <w:bookmarkEnd w:id="42"/>
      <w:bookmarkEnd w:id="43"/>
      <w:bookmarkEnd w:id="44"/>
      <w:bookmarkEnd w:id="45"/>
      <w:bookmarkEnd w:id="46"/>
      <w:bookmarkEnd w:id="47"/>
      <w:bookmarkEnd w:id="48"/>
      <w:bookmarkEnd w:id="49"/>
      <w:bookmarkEnd w:id="50"/>
      <w:bookmarkEnd w:id="51"/>
    </w:p>
    <w:sdt>
      <w:sdtPr>
        <w:rPr>
          <w:rFonts w:hint="eastAsia"/>
        </w:rPr>
        <w:id w:val="715848253"/>
        <w:placeholder>
          <w:docPart w:val="D534CBF346544D788F73A2E46541781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51EAB2A8">
          <w:pPr>
            <w:pStyle w:val="5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985D473">
      <w:pPr>
        <w:pStyle w:val="58"/>
        <w:ind w:firstLine="420"/>
      </w:pPr>
      <w:r>
        <w:rPr>
          <w:rFonts w:hint="eastAsia"/>
        </w:rPr>
        <w:t>GB 18306-2015  中国地震动参数区划图</w:t>
      </w:r>
    </w:p>
    <w:p w14:paraId="1E343AAA">
      <w:pPr>
        <w:pStyle w:val="58"/>
        <w:ind w:firstLine="420"/>
      </w:pPr>
      <w:r>
        <w:rPr>
          <w:rFonts w:hint="eastAsia"/>
        </w:rPr>
        <w:t>GB 50021-2001（2009年版）  岩土工程勘察规范</w:t>
      </w:r>
    </w:p>
    <w:p w14:paraId="54BB3B09">
      <w:pPr>
        <w:pStyle w:val="58"/>
        <w:ind w:firstLine="420"/>
      </w:pPr>
      <w:r>
        <w:rPr>
          <w:rFonts w:hint="eastAsia"/>
        </w:rPr>
        <w:t>GB/T 30319  基础地理信息数据库基本规定</w:t>
      </w:r>
    </w:p>
    <w:p w14:paraId="2DD4B9B6">
      <w:pPr>
        <w:pStyle w:val="58"/>
        <w:ind w:firstLine="420"/>
      </w:pPr>
      <w:r>
        <w:rPr>
          <w:rFonts w:hint="eastAsia"/>
        </w:rPr>
        <w:t>GB/T 32864-2016  滑坡防治工程勘查规范</w:t>
      </w:r>
    </w:p>
    <w:p w14:paraId="54E5551B">
      <w:pPr>
        <w:pStyle w:val="58"/>
        <w:ind w:firstLine="420"/>
      </w:pPr>
      <w:r>
        <w:rPr>
          <w:rFonts w:hint="eastAsia"/>
        </w:rPr>
        <w:t>GB/T 40112-2021  地质灾害危险性评估规范</w:t>
      </w:r>
    </w:p>
    <w:p w14:paraId="7CFECC6A">
      <w:pPr>
        <w:pStyle w:val="58"/>
        <w:ind w:firstLine="420"/>
      </w:pPr>
      <w:r>
        <w:rPr>
          <w:rFonts w:hint="eastAsia"/>
        </w:rPr>
        <w:t>GB/T 50123-2019  土工试验方法标准</w:t>
      </w:r>
    </w:p>
    <w:p w14:paraId="55F4F604">
      <w:pPr>
        <w:pStyle w:val="58"/>
        <w:ind w:firstLine="420"/>
      </w:pPr>
      <w:r>
        <w:rPr>
          <w:rFonts w:hint="eastAsia"/>
        </w:rPr>
        <w:t>GB 50112-2013  膨胀土地区建筑技术规范</w:t>
      </w:r>
    </w:p>
    <w:p w14:paraId="318EECDE">
      <w:pPr>
        <w:pStyle w:val="58"/>
        <w:ind w:firstLine="420"/>
      </w:pPr>
      <w:r>
        <w:rPr>
          <w:rFonts w:hint="eastAsia"/>
        </w:rPr>
        <w:t>GB/T 50266-2013  工程岩体试验方法标准</w:t>
      </w:r>
    </w:p>
    <w:p w14:paraId="5321CC53">
      <w:pPr>
        <w:pStyle w:val="58"/>
        <w:ind w:firstLine="420"/>
      </w:pPr>
      <w:r>
        <w:rPr>
          <w:rFonts w:hint="eastAsia"/>
        </w:rPr>
        <w:t>DZ/T 0154-2019  地面沉降测量规范</w:t>
      </w:r>
    </w:p>
    <w:p w14:paraId="52A87786">
      <w:pPr>
        <w:pStyle w:val="58"/>
        <w:ind w:firstLine="420"/>
      </w:pPr>
      <w:r>
        <w:rPr>
          <w:rFonts w:hint="eastAsia"/>
        </w:rPr>
        <w:t>DZ/T 0181-1997  水文测井工作规范</w:t>
      </w:r>
    </w:p>
    <w:p w14:paraId="23FE34AF">
      <w:pPr>
        <w:pStyle w:val="58"/>
        <w:ind w:firstLine="420"/>
      </w:pPr>
      <w:r>
        <w:rPr>
          <w:rFonts w:hint="eastAsia"/>
        </w:rPr>
        <w:t>DZ/T 0220-2016  泥石流灾害防治工程勘查规范</w:t>
      </w:r>
    </w:p>
    <w:p w14:paraId="6A37F1B7">
      <w:pPr>
        <w:pStyle w:val="58"/>
        <w:ind w:firstLine="420"/>
      </w:pPr>
      <w:r>
        <w:rPr>
          <w:rFonts w:hint="eastAsia"/>
        </w:rPr>
        <w:t>DZ/T 0261-2014  滑坡崩塌泥石流灾害调查规范（1:50 000）</w:t>
      </w:r>
    </w:p>
    <w:p w14:paraId="7F40F901">
      <w:pPr>
        <w:pStyle w:val="58"/>
        <w:ind w:firstLine="420"/>
      </w:pPr>
      <w:r>
        <w:rPr>
          <w:rFonts w:hint="eastAsia"/>
        </w:rPr>
        <w:t>DZ/T 0273  地质资料汇交规范</w:t>
      </w:r>
    </w:p>
    <w:p w14:paraId="7A9DA168">
      <w:pPr>
        <w:pStyle w:val="58"/>
        <w:ind w:firstLine="420"/>
      </w:pPr>
      <w:r>
        <w:rPr>
          <w:rFonts w:hint="eastAsia"/>
        </w:rPr>
        <w:t>DZ/T 0283  地面沉降调查与监测规范</w:t>
      </w:r>
    </w:p>
    <w:p w14:paraId="0C461157">
      <w:pPr>
        <w:pStyle w:val="58"/>
        <w:ind w:firstLine="420"/>
      </w:pPr>
      <w:r>
        <w:rPr>
          <w:rFonts w:hint="eastAsia"/>
        </w:rPr>
        <w:t>DZ/T 0438-2023  地质灾害风险调查评价规范（1:50 000）</w:t>
      </w:r>
    </w:p>
    <w:p w14:paraId="33D4C6C0">
      <w:pPr>
        <w:pStyle w:val="58"/>
        <w:ind w:firstLine="420"/>
      </w:pPr>
      <w:r>
        <w:rPr>
          <w:rFonts w:hint="eastAsia"/>
        </w:rPr>
        <w:t>DZ/T 0447-2023  岩溶塌陷调查规范（1:50 000）</w:t>
      </w:r>
    </w:p>
    <w:p w14:paraId="04D986ED">
      <w:pPr>
        <w:pStyle w:val="106"/>
        <w:spacing w:before="312" w:after="312"/>
      </w:pPr>
      <w:bookmarkStart w:id="52" w:name="_Toc176194066"/>
      <w:bookmarkStart w:id="53" w:name="_Toc178172270"/>
      <w:bookmarkStart w:id="54" w:name="_Toc97191425"/>
      <w:r>
        <w:rPr>
          <w:rFonts w:hint="eastAsia"/>
          <w:szCs w:val="21"/>
        </w:rPr>
        <w:t>术语和定义</w:t>
      </w:r>
      <w:bookmarkEnd w:id="52"/>
      <w:bookmarkEnd w:id="53"/>
      <w:bookmarkEnd w:id="54"/>
    </w:p>
    <w:sdt>
      <w:sdtPr>
        <w:id w:val="-1909835108"/>
        <w:placeholder>
          <w:docPart w:val="450D0F47466646AA8AE369FFD6B1AF8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819D70A">
          <w:pPr>
            <w:pStyle w:val="58"/>
            <w:ind w:firstLine="420"/>
          </w:pPr>
          <w:bookmarkStart w:id="55" w:name="_Toc26986532"/>
          <w:bookmarkEnd w:id="55"/>
          <w:r>
            <w:t>下列术语和定义适用于本文件。</w:t>
          </w:r>
        </w:p>
      </w:sdtContent>
    </w:sdt>
    <w:p w14:paraId="025B632B">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孕灾地质条件  geohazard-related geological conditions</w:t>
      </w:r>
    </w:p>
    <w:p w14:paraId="06F81582">
      <w:pPr>
        <w:pStyle w:val="58"/>
        <w:ind w:firstLine="420"/>
      </w:pPr>
      <w:r>
        <w:rPr>
          <w:rFonts w:hint="eastAsia"/>
        </w:rPr>
        <w:t>地质灾害孕育、形成的地质环境条件，主要包括工程地质岩组、易崩易滑地层、斜坡结构、软弱层、风化程度、岩体结构、地形地貌、地质构造、堆积层厚度、地表水与地下水等要素。</w:t>
      </w:r>
    </w:p>
    <w:p w14:paraId="7E2E073A">
      <w:pPr>
        <w:pStyle w:val="181"/>
      </w:pPr>
      <w:r>
        <w:rPr>
          <w:rFonts w:hint="eastAsia"/>
        </w:rPr>
        <w:t>根据DZ/T 0438-2023  地质灾害风险调查评价规范（1:50 000）改写。</w:t>
      </w:r>
    </w:p>
    <w:p w14:paraId="765DC822">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突发性地质灾害  abrupt geohazards</w:t>
      </w:r>
    </w:p>
    <w:p w14:paraId="18EF593E">
      <w:pPr>
        <w:pStyle w:val="58"/>
        <w:ind w:firstLine="420"/>
      </w:pPr>
      <w:r>
        <w:rPr>
          <w:rFonts w:hint="eastAsia"/>
        </w:rPr>
        <w:t>因自然因素或者人为活动引发，致灾过程相对较短的地质灾害，本文件特指滑坡、崩塌、泥石流、地面塌陷地质灾害。</w:t>
      </w:r>
    </w:p>
    <w:p w14:paraId="2BA9CB5B">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地质灾害隐患  potential geohazard</w:t>
      </w:r>
    </w:p>
    <w:p w14:paraId="01200E4A">
      <w:pPr>
        <w:pStyle w:val="58"/>
        <w:ind w:firstLine="420"/>
      </w:pPr>
      <w:r>
        <w:rPr>
          <w:rFonts w:hint="eastAsia"/>
        </w:rPr>
        <w:t>通过孕灾地质条件和影响因素调查，可能发生地质灾害的地点或区段。</w:t>
      </w:r>
    </w:p>
    <w:p w14:paraId="2D755F1E">
      <w:pPr>
        <w:pStyle w:val="181"/>
      </w:pPr>
      <w:r>
        <w:rPr>
          <w:rFonts w:hint="eastAsia"/>
        </w:rPr>
        <w:t>根据DZ/T 0438-2023  地质灾害风险调查评价规范（1:50 000）改写。</w:t>
      </w:r>
    </w:p>
    <w:p w14:paraId="3D36522C">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工程地质岩组  engineering geological petrofabric</w:t>
      </w:r>
    </w:p>
    <w:p w14:paraId="58C51E42">
      <w:pPr>
        <w:pStyle w:val="58"/>
        <w:ind w:firstLine="420"/>
      </w:pPr>
      <w:r>
        <w:rPr>
          <w:rFonts w:hint="eastAsia"/>
        </w:rPr>
        <w:t>具有一定地质成因联系，建造类型、岩性、岩体结构、强度和工程地质特征等相似的岩层(体)组合。</w:t>
      </w:r>
    </w:p>
    <w:p w14:paraId="510FE3F5">
      <w:pPr>
        <w:pStyle w:val="181"/>
      </w:pPr>
      <w:r>
        <w:rPr>
          <w:rFonts w:hint="eastAsia"/>
        </w:rPr>
        <w:t>引用自DZ/T 0438-2023  地质灾害风险调查评价规范（1:50 000）。</w:t>
      </w:r>
    </w:p>
    <w:p w14:paraId="06B443CC">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易崩易滑地层  strata prone to collapse or slide</w:t>
      </w:r>
    </w:p>
    <w:p w14:paraId="7DB0024D">
      <w:pPr>
        <w:pStyle w:val="58"/>
        <w:ind w:firstLine="420"/>
      </w:pPr>
      <w:r>
        <w:rPr>
          <w:rFonts w:hint="eastAsia"/>
        </w:rPr>
        <w:t>对形成崩塌、滑坡控制性较强的岩层、土层或岩土体组合。</w:t>
      </w:r>
    </w:p>
    <w:p w14:paraId="6E61C618">
      <w:pPr>
        <w:pStyle w:val="181"/>
      </w:pPr>
      <w:r>
        <w:rPr>
          <w:rFonts w:hint="eastAsia"/>
        </w:rPr>
        <w:t>引用自DZ/T 0438-2023  地质灾害风险调查评价规范（1:50 000）。</w:t>
      </w:r>
    </w:p>
    <w:p w14:paraId="4302F7A5">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斜坡结构  slope structure</w:t>
      </w:r>
    </w:p>
    <w:p w14:paraId="4AC164A2">
      <w:pPr>
        <w:pStyle w:val="58"/>
        <w:ind w:firstLine="420"/>
      </w:pPr>
      <w:r>
        <w:rPr>
          <w:rFonts w:hint="eastAsia"/>
        </w:rPr>
        <w:t>斜坡坡向与岩层层面、节理裂隙等结构面的交切关系。</w:t>
      </w:r>
    </w:p>
    <w:p w14:paraId="28EB9DDB">
      <w:pPr>
        <w:pStyle w:val="181"/>
      </w:pPr>
      <w:r>
        <w:rPr>
          <w:rFonts w:hint="eastAsia"/>
        </w:rPr>
        <w:t>引用自DZ/T 0438-2023  地质灾害风险调查评价规范（1:50 000）。</w:t>
      </w:r>
    </w:p>
    <w:p w14:paraId="5905A398">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地质灾害成灾模式  modes of geohazard formation</w:t>
      </w:r>
    </w:p>
    <w:p w14:paraId="43ACEA1B">
      <w:pPr>
        <w:pStyle w:val="58"/>
        <w:ind w:firstLine="420"/>
      </w:pPr>
      <w:r>
        <w:rPr>
          <w:rFonts w:hint="eastAsia"/>
        </w:rPr>
        <w:t>反映地质灾害形成的地质条件、诱发因素、演化过程、形成机理及其造成危害的典型方式或模型。</w:t>
      </w:r>
    </w:p>
    <w:p w14:paraId="61B9BE9C">
      <w:pPr>
        <w:pStyle w:val="181"/>
      </w:pPr>
      <w:r>
        <w:rPr>
          <w:rFonts w:hint="eastAsia"/>
        </w:rPr>
        <w:t>根据DZ/T 0438-2023  地质灾害风险调查评价规范（1:50 000）改写。</w:t>
      </w:r>
    </w:p>
    <w:p w14:paraId="78493DA1">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地质灾害易发性  geohazard susceptibility</w:t>
      </w:r>
    </w:p>
    <w:p w14:paraId="654EC6C0">
      <w:pPr>
        <w:pStyle w:val="58"/>
        <w:ind w:firstLine="420"/>
      </w:pPr>
      <w:r>
        <w:rPr>
          <w:rFonts w:hint="eastAsia"/>
        </w:rPr>
        <w:t>一定区域内由孕灾地质条件控制的地质灾害发生的可能性。</w:t>
      </w:r>
    </w:p>
    <w:p w14:paraId="037CD7CC">
      <w:pPr>
        <w:pStyle w:val="181"/>
      </w:pPr>
      <w:r>
        <w:rPr>
          <w:rFonts w:hint="eastAsia"/>
        </w:rPr>
        <w:t>引用自DZ/T 0438-2023  地质灾害风险调查评价规范（1:50 000）。</w:t>
      </w:r>
    </w:p>
    <w:p w14:paraId="5932A561">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地质灾害危险性  geohazard probability</w:t>
      </w:r>
    </w:p>
    <w:p w14:paraId="1D8D8DF2">
      <w:pPr>
        <w:pStyle w:val="58"/>
        <w:ind w:firstLine="420"/>
      </w:pPr>
      <w:r>
        <w:rPr>
          <w:rFonts w:hint="eastAsia"/>
        </w:rPr>
        <w:t>在某种诱发因素作用下，一定区域内某一时间段发生特定规模和类型地质灾害的可能性。</w:t>
      </w:r>
    </w:p>
    <w:p w14:paraId="1F5E2ED0">
      <w:pPr>
        <w:pStyle w:val="181"/>
      </w:pPr>
      <w:r>
        <w:rPr>
          <w:rFonts w:hint="eastAsia"/>
        </w:rPr>
        <w:t>引用自DZ/T 0438-2023  地质灾害风险调查评价规范（1:50 000）。</w:t>
      </w:r>
    </w:p>
    <w:p w14:paraId="50FB9463">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承灾体  elements at risk</w:t>
      </w:r>
    </w:p>
    <w:p w14:paraId="769EBDFB">
      <w:pPr>
        <w:pStyle w:val="58"/>
        <w:ind w:firstLine="420"/>
      </w:pPr>
      <w:r>
        <w:rPr>
          <w:rFonts w:hint="eastAsia"/>
        </w:rPr>
        <w:t>特定区域内受地质灾害威胁的各种对象，包括人口、财产、资源、环境等。</w:t>
      </w:r>
    </w:p>
    <w:p w14:paraId="34A27D29">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承灾体易损性  vulnerability of elements at risk</w:t>
      </w:r>
    </w:p>
    <w:p w14:paraId="20BE8BAB">
      <w:pPr>
        <w:pStyle w:val="58"/>
        <w:ind w:firstLine="420"/>
      </w:pPr>
      <w:r>
        <w:rPr>
          <w:rFonts w:hint="eastAsia"/>
        </w:rPr>
        <w:t>地质灾害影响范围内单个或者一系列的承灾体抵抗地质灾害破坏的能力。</w:t>
      </w:r>
    </w:p>
    <w:p w14:paraId="42556A37">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致灾体  rock and soil mass causing disaster</w:t>
      </w:r>
    </w:p>
    <w:p w14:paraId="565B54B7">
      <w:pPr>
        <w:pStyle w:val="58"/>
        <w:ind w:firstLine="420"/>
      </w:pPr>
      <w:r>
        <w:rPr>
          <w:rFonts w:hint="eastAsia"/>
        </w:rPr>
        <w:t>受自然因素或人为活动影响，可能危害人类生命、财产或生存环境的岩土体或空间。</w:t>
      </w:r>
    </w:p>
    <w:p w14:paraId="5E044D4C">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地质灾害风险  geohazard risk</w:t>
      </w:r>
    </w:p>
    <w:p w14:paraId="6FE99A67">
      <w:pPr>
        <w:pStyle w:val="58"/>
        <w:ind w:firstLine="420"/>
      </w:pPr>
      <w:r>
        <w:rPr>
          <w:rFonts w:hint="eastAsia"/>
        </w:rPr>
        <w:t>对生命、财产或环境等产生不利影响的地质灾害的发生概率和危害程度的度量。</w:t>
      </w:r>
    </w:p>
    <w:p w14:paraId="1DFBF772">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地质灾害风险区  geohazard risk zone</w:t>
      </w:r>
    </w:p>
    <w:p w14:paraId="56338461">
      <w:pPr>
        <w:pStyle w:val="58"/>
        <w:ind w:firstLine="420"/>
      </w:pPr>
      <w:r>
        <w:rPr>
          <w:rFonts w:hint="eastAsia"/>
        </w:rPr>
        <w:t>存在地质灾害风险的区域。根据风险大小的不同，可分为高、中、低风险区。</w:t>
      </w:r>
    </w:p>
    <w:p w14:paraId="30EF2D4A">
      <w:pPr>
        <w:pStyle w:val="225"/>
        <w:ind w:left="420" w:hanging="420" w:hangingChars="200"/>
        <w:rPr>
          <w:rFonts w:ascii="黑体" w:hAnsi="黑体" w:eastAsia="黑体"/>
        </w:rPr>
      </w:pPr>
      <w:r>
        <w:rPr>
          <w:rFonts w:ascii="黑体" w:hAnsi="黑体" w:eastAsia="黑体"/>
        </w:rPr>
        <w:br w:type="textWrapping"/>
      </w:r>
      <w:r>
        <w:rPr>
          <w:rFonts w:hint="eastAsia" w:ascii="黑体" w:hAnsi="黑体" w:eastAsia="黑体"/>
        </w:rPr>
        <w:t>地质灾害链  geological chain</w:t>
      </w:r>
    </w:p>
    <w:p w14:paraId="07D5F90E">
      <w:pPr>
        <w:pStyle w:val="58"/>
        <w:ind w:firstLine="420"/>
      </w:pPr>
      <w:r>
        <w:rPr>
          <w:rFonts w:hint="eastAsia"/>
        </w:rPr>
        <w:t>地质灾害发生之后，诱发形成其他次生灾害的过程或现象。</w:t>
      </w:r>
    </w:p>
    <w:p w14:paraId="5CB43A98">
      <w:pPr>
        <w:pStyle w:val="106"/>
        <w:spacing w:before="312" w:after="312"/>
      </w:pPr>
      <w:bookmarkStart w:id="56" w:name="_Toc176194067"/>
      <w:bookmarkStart w:id="57" w:name="_Toc178172271"/>
      <w:r>
        <w:rPr>
          <w:rFonts w:hint="eastAsia"/>
        </w:rPr>
        <w:t>符号和缩略语</w:t>
      </w:r>
      <w:bookmarkEnd w:id="56"/>
      <w:bookmarkEnd w:id="57"/>
    </w:p>
    <w:p w14:paraId="5BBDA64B">
      <w:pPr>
        <w:pStyle w:val="58"/>
        <w:ind w:firstLine="420"/>
      </w:pPr>
      <w:r>
        <w:rPr>
          <w:rFonts w:hint="eastAsia"/>
        </w:rPr>
        <w:t>下列符号和缩略语适用于本文件。</w:t>
      </w:r>
    </w:p>
    <w:p w14:paraId="15A16ED4">
      <w:pPr>
        <w:pStyle w:val="58"/>
        <w:ind w:firstLine="420"/>
      </w:pPr>
      <w:r>
        <w:t>InSAR</w:t>
      </w:r>
    </w:p>
    <w:p w14:paraId="6D257DD9">
      <w:pPr>
        <w:pStyle w:val="58"/>
        <w:ind w:firstLine="420"/>
      </w:pPr>
      <w:r>
        <w:rPr>
          <w:rFonts w:hint="eastAsia"/>
        </w:rPr>
        <w:t>合成孔径雷达干涉测量（Synthetic Aperture Radar Interferometry）。</w:t>
      </w:r>
    </w:p>
    <w:p w14:paraId="5259EEEF">
      <w:pPr>
        <w:pStyle w:val="58"/>
        <w:ind w:firstLine="420"/>
      </w:pPr>
      <w:r>
        <w:t>LiDAR</w:t>
      </w:r>
    </w:p>
    <w:p w14:paraId="5F301F76">
      <w:pPr>
        <w:pStyle w:val="58"/>
        <w:ind w:firstLine="420"/>
      </w:pPr>
      <w:r>
        <w:rPr>
          <w:rFonts w:hint="eastAsia"/>
        </w:rPr>
        <w:t>激光雷达（Light Detection and Ranging）。</w:t>
      </w:r>
    </w:p>
    <w:p w14:paraId="5433ED7F">
      <w:pPr>
        <w:pStyle w:val="58"/>
        <w:ind w:firstLine="420"/>
      </w:pPr>
      <w:r>
        <w:t>DEM</w:t>
      </w:r>
    </w:p>
    <w:p w14:paraId="672B1619">
      <w:pPr>
        <w:pStyle w:val="58"/>
        <w:ind w:firstLine="420"/>
      </w:pPr>
      <w:r>
        <w:rPr>
          <w:rFonts w:hint="eastAsia"/>
        </w:rPr>
        <w:t>数字高程模型(Digital Elevation Model)。</w:t>
      </w:r>
    </w:p>
    <w:p w14:paraId="7AFBABAC">
      <w:pPr>
        <w:pStyle w:val="58"/>
        <w:ind w:firstLine="420"/>
      </w:pPr>
      <w:r>
        <w:t>ROC</w:t>
      </w:r>
    </w:p>
    <w:p w14:paraId="4974F7A6">
      <w:pPr>
        <w:pStyle w:val="58"/>
        <w:ind w:firstLine="420"/>
      </w:pPr>
      <w:r>
        <w:rPr>
          <w:rFonts w:hint="eastAsia"/>
        </w:rPr>
        <w:t>受试者工作特征曲线（Receiver Operating Characteristic Curve）。</w:t>
      </w:r>
    </w:p>
    <w:p w14:paraId="696500C8">
      <w:pPr>
        <w:pStyle w:val="106"/>
        <w:spacing w:before="312" w:after="312"/>
      </w:pPr>
      <w:bookmarkStart w:id="58" w:name="_Toc176194068"/>
      <w:bookmarkStart w:id="59" w:name="_Toc178172272"/>
      <w:r>
        <w:rPr>
          <w:rFonts w:hint="eastAsia"/>
        </w:rPr>
        <w:t>总则</w:t>
      </w:r>
      <w:bookmarkEnd w:id="58"/>
      <w:bookmarkEnd w:id="59"/>
    </w:p>
    <w:p w14:paraId="6ACC6027">
      <w:pPr>
        <w:pStyle w:val="107"/>
        <w:spacing w:before="156" w:after="156"/>
      </w:pPr>
      <w:bookmarkStart w:id="60" w:name="_Toc176194069"/>
      <w:bookmarkStart w:id="61" w:name="_Toc178172273"/>
      <w:r>
        <w:rPr>
          <w:rFonts w:hint="eastAsia"/>
        </w:rPr>
        <w:t>目的</w:t>
      </w:r>
      <w:bookmarkEnd w:id="60"/>
      <w:bookmarkEnd w:id="61"/>
    </w:p>
    <w:p w14:paraId="4CDECFB1">
      <w:pPr>
        <w:pStyle w:val="58"/>
        <w:ind w:firstLine="420"/>
      </w:pPr>
      <w:r>
        <w:rPr>
          <w:rFonts w:hint="eastAsia"/>
        </w:rPr>
        <w:t>综合利用地质调绘、钻探、物探、原位测试、室内试验等综合勘查方法和其他新技术、新方法和新手段，调查工作区地质灾害与孕灾地质条件，识别地质灾害隐患或风险，总结地质灾害发育分布规律及发展趋势；分析地质灾害形成机理和成灾模式，研究引发突发性地质灾害的降雨阈值；评价地质灾害易发性及危险性，识别承灾体及易损性，评价划定地质灾害风险等级及风险区，建立地质灾害风险调查与评价数据库，提出风险管控对策措施。为地方政府开展防灾减灾管理、国土空间规划、重大工程布局等提供依据。</w:t>
      </w:r>
    </w:p>
    <w:p w14:paraId="3F0DCEF9">
      <w:pPr>
        <w:pStyle w:val="107"/>
        <w:spacing w:before="156" w:after="156"/>
      </w:pPr>
      <w:bookmarkStart w:id="62" w:name="_Toc178172274"/>
      <w:bookmarkStart w:id="63" w:name="_Toc176194070"/>
      <w:r>
        <w:rPr>
          <w:rFonts w:hint="eastAsia"/>
        </w:rPr>
        <w:t>任务</w:t>
      </w:r>
      <w:bookmarkEnd w:id="62"/>
      <w:bookmarkEnd w:id="63"/>
    </w:p>
    <w:p w14:paraId="25BAD727">
      <w:pPr>
        <w:pStyle w:val="167"/>
      </w:pPr>
      <w:r>
        <w:rPr>
          <w:rFonts w:hint="eastAsia"/>
        </w:rPr>
        <w:t>调查地形地貌、地质构造、岩（土）体工程地质特征、斜坡结构、残坡积层和风化层厚度、地下水活动等孕灾地质条件和气象、水文、人类工程活动等诱发因素。</w:t>
      </w:r>
    </w:p>
    <w:p w14:paraId="0BDCB722">
      <w:pPr>
        <w:pStyle w:val="167"/>
      </w:pPr>
      <w:r>
        <w:rPr>
          <w:rFonts w:hint="eastAsia"/>
        </w:rPr>
        <w:t>调查崩塌、滑坡、泥石流、地面塌陷、地面沉降、地裂缝的形成发育特征及危害情况，分析其时空分布规律、影响因素及成因机理，评价突发性地质灾害稳定性，预测地面沉降发展趋势，提出处置建议，为地灾防治提供科学依据。</w:t>
      </w:r>
    </w:p>
    <w:p w14:paraId="2D6A3D2A">
      <w:pPr>
        <w:pStyle w:val="167"/>
      </w:pPr>
      <w:r>
        <w:rPr>
          <w:rFonts w:hint="eastAsia"/>
        </w:rPr>
        <w:t>调查可能受地质灾害威胁的人员、财产、构筑物、基础设施、经济活动、土地、资源、环境等基本信息。</w:t>
      </w:r>
    </w:p>
    <w:p w14:paraId="5FB9355E">
      <w:pPr>
        <w:pStyle w:val="167"/>
      </w:pPr>
      <w:r>
        <w:rPr>
          <w:rFonts w:hint="eastAsia"/>
        </w:rPr>
        <w:t>开展地质灾害易发性、危险性、易损性和风险性评价，编制地质灾害风险调查评价相关图件，划定地质灾害风险区，提出地质灾害防治与风险管控对策建议。</w:t>
      </w:r>
    </w:p>
    <w:p w14:paraId="5F41516E">
      <w:pPr>
        <w:pStyle w:val="167"/>
      </w:pPr>
      <w:r>
        <w:rPr>
          <w:rFonts w:hint="eastAsia"/>
        </w:rPr>
        <w:t>开展突发性地质灾害降雨阈值研究，提出降雨阈值建议。</w:t>
      </w:r>
    </w:p>
    <w:p w14:paraId="5E6D85B8">
      <w:pPr>
        <w:pStyle w:val="167"/>
      </w:pPr>
      <w:r>
        <w:rPr>
          <w:rFonts w:hint="eastAsia"/>
        </w:rPr>
        <w:t>建立地质灾害风险调查与评价数据库。</w:t>
      </w:r>
    </w:p>
    <w:p w14:paraId="111AE194">
      <w:pPr>
        <w:pStyle w:val="107"/>
        <w:spacing w:before="156" w:after="156"/>
      </w:pPr>
      <w:bookmarkStart w:id="64" w:name="_Toc176194071"/>
      <w:bookmarkStart w:id="65" w:name="_Toc178172275"/>
      <w:r>
        <w:rPr>
          <w:rFonts w:hint="eastAsia"/>
        </w:rPr>
        <w:t>调查进度和工作量</w:t>
      </w:r>
      <w:bookmarkEnd w:id="64"/>
      <w:bookmarkEnd w:id="65"/>
    </w:p>
    <w:p w14:paraId="2D1200A0">
      <w:pPr>
        <w:pStyle w:val="167"/>
      </w:pPr>
      <w:r>
        <w:rPr>
          <w:rFonts w:hint="eastAsia"/>
        </w:rPr>
        <w:t>崩塌、滑坡、泥石流、地面塌陷等地质灾害风险调查应根据地质灾害所危及的对象、范围，划分重点调查区和一般调查区。对可能危及居民区（点）、学校、厂矿企业、重要建构筑物、重要基础设施区域的，划定为重点调查区，按照 1:2000 比例尺开展调查。对重点调查区内的典型地质灾害隐患点、斜坡和小流域沟谷等区域，可根据需要划定为典型地段，按照 1:500～1:1000比例尺开展。重点调查区以外的其他区域划为一般调查区，按照1:10000比例尺开展。</w:t>
      </w:r>
    </w:p>
    <w:p w14:paraId="26AEBACA">
      <w:pPr>
        <w:pStyle w:val="167"/>
      </w:pPr>
      <w:r>
        <w:rPr>
          <w:rFonts w:hint="eastAsia"/>
        </w:rPr>
        <w:t>地面沉降和地裂缝重点调查区可按照不小于 1:10000 比例尺开展。</w:t>
      </w:r>
    </w:p>
    <w:p w14:paraId="1EE276BA">
      <w:pPr>
        <w:pStyle w:val="167"/>
      </w:pPr>
      <w:r>
        <w:rPr>
          <w:rFonts w:hint="eastAsia"/>
        </w:rPr>
        <w:t>调查工作量基本定额参见表 1。</w:t>
      </w:r>
    </w:p>
    <w:p w14:paraId="35616FC6">
      <w:pPr>
        <w:pStyle w:val="114"/>
        <w:spacing w:before="156" w:after="156"/>
      </w:pPr>
      <w:r>
        <w:rPr>
          <w:rFonts w:hint="eastAsia"/>
        </w:rPr>
        <w:t>每百平方千米调查区基本工作量</w:t>
      </w:r>
    </w:p>
    <w:tbl>
      <w:tblPr>
        <w:tblStyle w:val="2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84"/>
        <w:gridCol w:w="1042"/>
        <w:gridCol w:w="1042"/>
        <w:gridCol w:w="894"/>
        <w:gridCol w:w="893"/>
        <w:gridCol w:w="894"/>
        <w:gridCol w:w="1042"/>
        <w:gridCol w:w="894"/>
        <w:gridCol w:w="893"/>
        <w:gridCol w:w="896"/>
      </w:tblGrid>
      <w:tr w14:paraId="354B7F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027" w:type="pct"/>
            <w:gridSpan w:val="2"/>
            <w:tcBorders>
              <w:top w:val="single" w:color="auto" w:sz="8" w:space="0"/>
              <w:bottom w:val="single" w:color="auto" w:sz="8" w:space="0"/>
            </w:tcBorders>
            <w:shd w:val="clear" w:color="auto" w:fill="auto"/>
            <w:vAlign w:val="center"/>
          </w:tcPr>
          <w:p w14:paraId="58368228">
            <w:pPr>
              <w:pStyle w:val="180"/>
              <w:rPr>
                <w:rFonts w:hAnsi="宋体"/>
                <w:szCs w:val="18"/>
              </w:rPr>
            </w:pPr>
            <w:r>
              <w:rPr>
                <w:rFonts w:hint="eastAsia" w:hAnsi="宋体"/>
                <w:szCs w:val="18"/>
              </w:rPr>
              <w:t>调查区类型</w:t>
            </w:r>
          </w:p>
        </w:tc>
        <w:tc>
          <w:tcPr>
            <w:tcW w:w="556" w:type="pct"/>
            <w:tcBorders>
              <w:top w:val="single" w:color="auto" w:sz="8" w:space="0"/>
              <w:bottom w:val="single" w:color="auto" w:sz="8" w:space="0"/>
            </w:tcBorders>
            <w:shd w:val="clear" w:color="auto" w:fill="auto"/>
            <w:vAlign w:val="center"/>
          </w:tcPr>
          <w:p w14:paraId="3E2C2314">
            <w:pPr>
              <w:pStyle w:val="180"/>
              <w:rPr>
                <w:rFonts w:hAnsi="宋体"/>
                <w:szCs w:val="18"/>
              </w:rPr>
            </w:pPr>
            <w:r>
              <w:rPr>
                <w:rFonts w:hint="eastAsia" w:hAnsi="宋体"/>
                <w:szCs w:val="18"/>
              </w:rPr>
              <w:t>调查精度</w:t>
            </w:r>
          </w:p>
        </w:tc>
        <w:tc>
          <w:tcPr>
            <w:tcW w:w="477" w:type="pct"/>
            <w:tcBorders>
              <w:top w:val="single" w:color="auto" w:sz="8" w:space="0"/>
              <w:bottom w:val="single" w:color="auto" w:sz="8" w:space="0"/>
            </w:tcBorders>
            <w:shd w:val="clear" w:color="auto" w:fill="auto"/>
            <w:vAlign w:val="center"/>
          </w:tcPr>
          <w:p w14:paraId="3E4A9B58">
            <w:pPr>
              <w:pStyle w:val="180"/>
              <w:rPr>
                <w:rFonts w:hAnsi="宋体"/>
                <w:szCs w:val="18"/>
              </w:rPr>
            </w:pPr>
            <w:r>
              <w:rPr>
                <w:rFonts w:hint="eastAsia" w:hAnsi="宋体"/>
                <w:szCs w:val="18"/>
              </w:rPr>
              <w:t>调查点</w:t>
            </w:r>
          </w:p>
          <w:p w14:paraId="4F365A15">
            <w:pPr>
              <w:pStyle w:val="180"/>
              <w:rPr>
                <w:rFonts w:hAnsi="宋体"/>
                <w:szCs w:val="18"/>
              </w:rPr>
            </w:pPr>
            <w:r>
              <w:rPr>
                <w:rFonts w:hint="eastAsia" w:hAnsi="宋体"/>
                <w:szCs w:val="18"/>
              </w:rPr>
              <w:t>个</w:t>
            </w:r>
          </w:p>
        </w:tc>
        <w:tc>
          <w:tcPr>
            <w:tcW w:w="476" w:type="pct"/>
            <w:tcBorders>
              <w:top w:val="single" w:color="auto" w:sz="8" w:space="0"/>
              <w:bottom w:val="single" w:color="auto" w:sz="8" w:space="0"/>
            </w:tcBorders>
            <w:shd w:val="clear" w:color="auto" w:fill="auto"/>
            <w:vAlign w:val="center"/>
          </w:tcPr>
          <w:p w14:paraId="732AACAB">
            <w:pPr>
              <w:pStyle w:val="180"/>
              <w:rPr>
                <w:rFonts w:hAnsi="宋体"/>
                <w:szCs w:val="18"/>
              </w:rPr>
            </w:pPr>
            <w:r>
              <w:rPr>
                <w:rFonts w:hint="eastAsia" w:hAnsi="宋体"/>
                <w:szCs w:val="18"/>
              </w:rPr>
              <w:t>剖面测制</w:t>
            </w:r>
          </w:p>
          <w:p w14:paraId="472F228B">
            <w:pPr>
              <w:pStyle w:val="180"/>
              <w:rPr>
                <w:rFonts w:hAnsi="宋体"/>
                <w:szCs w:val="18"/>
              </w:rPr>
            </w:pPr>
            <w:r>
              <w:rPr>
                <w:rFonts w:hAnsi="宋体"/>
                <w:szCs w:val="18"/>
              </w:rPr>
              <w:t>k</w:t>
            </w:r>
            <w:r>
              <w:rPr>
                <w:rFonts w:hint="eastAsia" w:hAnsi="宋体"/>
                <w:szCs w:val="18"/>
              </w:rPr>
              <w:t>m</w:t>
            </w:r>
          </w:p>
        </w:tc>
        <w:tc>
          <w:tcPr>
            <w:tcW w:w="477" w:type="pct"/>
            <w:tcBorders>
              <w:top w:val="single" w:color="auto" w:sz="8" w:space="0"/>
              <w:bottom w:val="single" w:color="auto" w:sz="8" w:space="0"/>
            </w:tcBorders>
            <w:shd w:val="clear" w:color="auto" w:fill="auto"/>
            <w:vAlign w:val="center"/>
          </w:tcPr>
          <w:p w14:paraId="764D033D">
            <w:pPr>
              <w:pStyle w:val="180"/>
              <w:rPr>
                <w:rFonts w:hAnsi="宋体"/>
                <w:szCs w:val="18"/>
              </w:rPr>
            </w:pPr>
            <w:r>
              <w:rPr>
                <w:rFonts w:hint="eastAsia" w:hAnsi="宋体"/>
                <w:szCs w:val="18"/>
              </w:rPr>
              <w:t>钻探</w:t>
            </w:r>
          </w:p>
          <w:p w14:paraId="038225B6">
            <w:pPr>
              <w:pStyle w:val="180"/>
              <w:rPr>
                <w:rFonts w:hAnsi="宋体"/>
                <w:szCs w:val="18"/>
              </w:rPr>
            </w:pPr>
            <w:r>
              <w:rPr>
                <w:rFonts w:hint="eastAsia" w:hAnsi="宋体"/>
                <w:szCs w:val="18"/>
              </w:rPr>
              <w:t>m</w:t>
            </w:r>
          </w:p>
        </w:tc>
        <w:tc>
          <w:tcPr>
            <w:tcW w:w="556" w:type="pct"/>
            <w:tcBorders>
              <w:top w:val="single" w:color="auto" w:sz="8" w:space="0"/>
              <w:bottom w:val="single" w:color="auto" w:sz="8" w:space="0"/>
            </w:tcBorders>
            <w:shd w:val="clear" w:color="auto" w:fill="auto"/>
            <w:vAlign w:val="center"/>
          </w:tcPr>
          <w:p w14:paraId="32ED75FC">
            <w:pPr>
              <w:pStyle w:val="180"/>
              <w:rPr>
                <w:rFonts w:hAnsi="宋体"/>
                <w:szCs w:val="18"/>
              </w:rPr>
            </w:pPr>
            <w:r>
              <w:rPr>
                <w:rFonts w:hint="eastAsia" w:hAnsi="宋体"/>
                <w:szCs w:val="18"/>
              </w:rPr>
              <w:t>山地工程</w:t>
            </w:r>
          </w:p>
          <w:p w14:paraId="5AD4073B">
            <w:pPr>
              <w:pStyle w:val="180"/>
              <w:rPr>
                <w:rFonts w:hAnsi="宋体"/>
                <w:szCs w:val="18"/>
                <w:vertAlign w:val="superscript"/>
              </w:rPr>
            </w:pPr>
            <w:r>
              <w:rPr>
                <w:rFonts w:hint="eastAsia" w:hAnsi="宋体"/>
                <w:szCs w:val="18"/>
              </w:rPr>
              <w:t>m</w:t>
            </w:r>
            <w:r>
              <w:rPr>
                <w:rFonts w:hAnsi="宋体"/>
                <w:szCs w:val="18"/>
                <w:vertAlign w:val="superscript"/>
              </w:rPr>
              <w:t>3</w:t>
            </w:r>
          </w:p>
        </w:tc>
        <w:tc>
          <w:tcPr>
            <w:tcW w:w="477" w:type="pct"/>
            <w:tcBorders>
              <w:top w:val="single" w:color="auto" w:sz="8" w:space="0"/>
              <w:bottom w:val="single" w:color="auto" w:sz="8" w:space="0"/>
            </w:tcBorders>
            <w:shd w:val="clear" w:color="auto" w:fill="auto"/>
            <w:vAlign w:val="center"/>
          </w:tcPr>
          <w:p w14:paraId="1326559A">
            <w:pPr>
              <w:pStyle w:val="180"/>
              <w:rPr>
                <w:rFonts w:hAnsi="宋体"/>
                <w:szCs w:val="18"/>
              </w:rPr>
            </w:pPr>
            <w:r>
              <w:rPr>
                <w:rFonts w:hint="eastAsia" w:hAnsi="宋体"/>
                <w:szCs w:val="18"/>
              </w:rPr>
              <w:t>物探</w:t>
            </w:r>
          </w:p>
          <w:p w14:paraId="40AEAF64">
            <w:pPr>
              <w:pStyle w:val="180"/>
              <w:rPr>
                <w:rFonts w:hAnsi="宋体"/>
                <w:szCs w:val="18"/>
              </w:rPr>
            </w:pPr>
            <w:r>
              <w:rPr>
                <w:rFonts w:hint="eastAsia" w:hAnsi="宋体"/>
                <w:szCs w:val="18"/>
              </w:rPr>
              <w:t>点</w:t>
            </w:r>
          </w:p>
        </w:tc>
        <w:tc>
          <w:tcPr>
            <w:tcW w:w="476" w:type="pct"/>
            <w:tcBorders>
              <w:top w:val="single" w:color="auto" w:sz="8" w:space="0"/>
              <w:bottom w:val="single" w:color="auto" w:sz="8" w:space="0"/>
              <w:right w:val="single" w:color="auto" w:sz="8" w:space="0"/>
            </w:tcBorders>
            <w:shd w:val="clear" w:color="auto" w:fill="auto"/>
            <w:vAlign w:val="center"/>
          </w:tcPr>
          <w:p w14:paraId="088B5CE2">
            <w:pPr>
              <w:pStyle w:val="180"/>
              <w:rPr>
                <w:rFonts w:hAnsi="宋体"/>
                <w:szCs w:val="18"/>
              </w:rPr>
            </w:pPr>
            <w:r>
              <w:rPr>
                <w:rFonts w:hint="eastAsia" w:hAnsi="宋体"/>
                <w:szCs w:val="18"/>
              </w:rPr>
              <w:t>岩土样</w:t>
            </w:r>
          </w:p>
          <w:p w14:paraId="6576FD80">
            <w:pPr>
              <w:pStyle w:val="180"/>
              <w:rPr>
                <w:rFonts w:hAnsi="宋体"/>
                <w:szCs w:val="18"/>
              </w:rPr>
            </w:pPr>
            <w:r>
              <w:rPr>
                <w:rFonts w:hint="eastAsia" w:hAnsi="宋体"/>
                <w:szCs w:val="18"/>
              </w:rPr>
              <w:t>组</w:t>
            </w:r>
          </w:p>
        </w:tc>
        <w:tc>
          <w:tcPr>
            <w:tcW w:w="477" w:type="pct"/>
            <w:tcBorders>
              <w:top w:val="single" w:color="auto" w:sz="8" w:space="0"/>
              <w:bottom w:val="single" w:color="auto" w:sz="8" w:space="0"/>
              <w:right w:val="single" w:color="auto" w:sz="8" w:space="0"/>
            </w:tcBorders>
            <w:vAlign w:val="center"/>
          </w:tcPr>
          <w:p w14:paraId="20E80892">
            <w:pPr>
              <w:pStyle w:val="180"/>
              <w:rPr>
                <w:rFonts w:hAnsi="宋体"/>
                <w:szCs w:val="18"/>
              </w:rPr>
            </w:pPr>
            <w:r>
              <w:rPr>
                <w:rFonts w:hint="eastAsia" w:hAnsi="宋体"/>
                <w:szCs w:val="18"/>
              </w:rPr>
              <w:t>抽水试验</w:t>
            </w:r>
          </w:p>
          <w:p w14:paraId="009D8031">
            <w:pPr>
              <w:pStyle w:val="180"/>
              <w:rPr>
                <w:rFonts w:hAnsi="宋体"/>
                <w:szCs w:val="18"/>
              </w:rPr>
            </w:pPr>
            <w:r>
              <w:rPr>
                <w:rFonts w:hint="eastAsia" w:hAnsi="宋体"/>
                <w:szCs w:val="18"/>
              </w:rPr>
              <w:t>组</w:t>
            </w:r>
          </w:p>
        </w:tc>
      </w:tr>
      <w:tr w14:paraId="07AE3B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68" w:hRule="atLeast"/>
          <w:jc w:val="center"/>
        </w:trPr>
        <w:tc>
          <w:tcPr>
            <w:tcW w:w="471" w:type="pct"/>
            <w:vMerge w:val="restart"/>
            <w:tcBorders>
              <w:top w:val="single" w:color="auto" w:sz="8" w:space="0"/>
            </w:tcBorders>
            <w:shd w:val="clear" w:color="auto" w:fill="auto"/>
            <w:vAlign w:val="center"/>
          </w:tcPr>
          <w:p w14:paraId="2C5F0929">
            <w:pPr>
              <w:pStyle w:val="180"/>
              <w:rPr>
                <w:rFonts w:hAnsi="宋体"/>
                <w:szCs w:val="18"/>
              </w:rPr>
            </w:pPr>
            <w:r>
              <w:rPr>
                <w:rFonts w:hint="eastAsia" w:hAnsi="宋体"/>
                <w:szCs w:val="18"/>
              </w:rPr>
              <w:t>滑坡、崩塌、泥石流、地面塌陷</w:t>
            </w:r>
          </w:p>
        </w:tc>
        <w:tc>
          <w:tcPr>
            <w:tcW w:w="556" w:type="pct"/>
            <w:tcBorders>
              <w:top w:val="single" w:color="auto" w:sz="8" w:space="0"/>
            </w:tcBorders>
            <w:shd w:val="clear" w:color="auto" w:fill="auto"/>
            <w:vAlign w:val="center"/>
          </w:tcPr>
          <w:p w14:paraId="54EF2F9D">
            <w:pPr>
              <w:pStyle w:val="180"/>
              <w:rPr>
                <w:rFonts w:hAnsi="宋体"/>
                <w:szCs w:val="18"/>
              </w:rPr>
            </w:pPr>
            <w:r>
              <w:rPr>
                <w:rFonts w:hint="eastAsia" w:hAnsi="宋体"/>
                <w:szCs w:val="18"/>
              </w:rPr>
              <w:t>一般调查区</w:t>
            </w:r>
          </w:p>
        </w:tc>
        <w:tc>
          <w:tcPr>
            <w:tcW w:w="556" w:type="pct"/>
            <w:tcBorders>
              <w:top w:val="single" w:color="auto" w:sz="8" w:space="0"/>
            </w:tcBorders>
            <w:shd w:val="clear" w:color="auto" w:fill="auto"/>
            <w:vAlign w:val="center"/>
          </w:tcPr>
          <w:p w14:paraId="770287B1">
            <w:pPr>
              <w:pStyle w:val="180"/>
              <w:rPr>
                <w:rFonts w:hAnsi="宋体"/>
                <w:szCs w:val="18"/>
              </w:rPr>
            </w:pPr>
            <w:r>
              <w:rPr>
                <w:rFonts w:hAnsi="宋体"/>
                <w:szCs w:val="18"/>
              </w:rPr>
              <w:t>1:10000</w:t>
            </w:r>
          </w:p>
        </w:tc>
        <w:tc>
          <w:tcPr>
            <w:tcW w:w="477" w:type="pct"/>
            <w:tcBorders>
              <w:top w:val="single" w:color="auto" w:sz="8" w:space="0"/>
            </w:tcBorders>
            <w:shd w:val="clear" w:color="auto" w:fill="auto"/>
            <w:vAlign w:val="center"/>
          </w:tcPr>
          <w:p w14:paraId="371C77CE">
            <w:pPr>
              <w:pStyle w:val="180"/>
              <w:rPr>
                <w:rFonts w:hAnsi="宋体"/>
                <w:szCs w:val="18"/>
              </w:rPr>
            </w:pPr>
            <w:r>
              <w:rPr>
                <w:rFonts w:hint="eastAsia" w:hAnsi="宋体"/>
                <w:szCs w:val="18"/>
              </w:rPr>
              <w:t>≥2</w:t>
            </w:r>
            <w:r>
              <w:rPr>
                <w:rFonts w:hAnsi="宋体"/>
                <w:szCs w:val="18"/>
              </w:rPr>
              <w:t>50</w:t>
            </w:r>
          </w:p>
        </w:tc>
        <w:tc>
          <w:tcPr>
            <w:tcW w:w="476" w:type="pct"/>
            <w:tcBorders>
              <w:top w:val="single" w:color="auto" w:sz="8" w:space="0"/>
            </w:tcBorders>
            <w:shd w:val="clear" w:color="auto" w:fill="auto"/>
            <w:vAlign w:val="center"/>
          </w:tcPr>
          <w:p w14:paraId="5A2CDFE5">
            <w:pPr>
              <w:pStyle w:val="180"/>
              <w:rPr>
                <w:rFonts w:hAnsi="宋体"/>
                <w:szCs w:val="18"/>
              </w:rPr>
            </w:pPr>
            <w:r>
              <w:rPr>
                <w:rFonts w:hint="eastAsia" w:hAnsi="宋体"/>
                <w:szCs w:val="18"/>
              </w:rPr>
              <w:t>≥</w:t>
            </w:r>
            <w:r>
              <w:rPr>
                <w:rFonts w:hAnsi="宋体"/>
                <w:szCs w:val="18"/>
              </w:rPr>
              <w:t>5</w:t>
            </w:r>
          </w:p>
        </w:tc>
        <w:tc>
          <w:tcPr>
            <w:tcW w:w="477" w:type="pct"/>
            <w:tcBorders>
              <w:top w:val="single" w:color="auto" w:sz="8" w:space="0"/>
            </w:tcBorders>
            <w:shd w:val="clear" w:color="auto" w:fill="auto"/>
            <w:vAlign w:val="center"/>
          </w:tcPr>
          <w:p w14:paraId="069627AA">
            <w:pPr>
              <w:pStyle w:val="180"/>
              <w:rPr>
                <w:rFonts w:hAnsi="宋体"/>
                <w:szCs w:val="18"/>
              </w:rPr>
            </w:pPr>
            <w:r>
              <w:rPr>
                <w:rFonts w:hint="eastAsia" w:hAnsi="宋体"/>
                <w:szCs w:val="18"/>
              </w:rPr>
              <w:t>≥</w:t>
            </w:r>
            <w:r>
              <w:rPr>
                <w:rFonts w:hAnsi="宋体"/>
                <w:szCs w:val="18"/>
              </w:rPr>
              <w:t>50</w:t>
            </w:r>
          </w:p>
        </w:tc>
        <w:tc>
          <w:tcPr>
            <w:tcW w:w="556" w:type="pct"/>
            <w:tcBorders>
              <w:top w:val="single" w:color="auto" w:sz="8" w:space="0"/>
            </w:tcBorders>
            <w:shd w:val="clear" w:color="auto" w:fill="auto"/>
            <w:vAlign w:val="center"/>
          </w:tcPr>
          <w:p w14:paraId="497C6592">
            <w:pPr>
              <w:pStyle w:val="180"/>
              <w:rPr>
                <w:rFonts w:hAnsi="宋体"/>
                <w:szCs w:val="18"/>
              </w:rPr>
            </w:pPr>
            <w:r>
              <w:rPr>
                <w:rFonts w:hint="eastAsia" w:hAnsi="宋体"/>
                <w:szCs w:val="18"/>
              </w:rPr>
              <w:t>/</w:t>
            </w:r>
          </w:p>
        </w:tc>
        <w:tc>
          <w:tcPr>
            <w:tcW w:w="477" w:type="pct"/>
            <w:tcBorders>
              <w:top w:val="single" w:color="auto" w:sz="8" w:space="0"/>
            </w:tcBorders>
            <w:shd w:val="clear" w:color="auto" w:fill="auto"/>
            <w:vAlign w:val="center"/>
          </w:tcPr>
          <w:p w14:paraId="44517073">
            <w:pPr>
              <w:pStyle w:val="180"/>
              <w:rPr>
                <w:rFonts w:hAnsi="宋体"/>
                <w:szCs w:val="18"/>
              </w:rPr>
            </w:pPr>
            <w:r>
              <w:rPr>
                <w:rFonts w:hint="eastAsia" w:hAnsi="宋体"/>
                <w:szCs w:val="18"/>
              </w:rPr>
              <w:t>≥</w:t>
            </w:r>
            <w:r>
              <w:rPr>
                <w:rFonts w:hAnsi="宋体"/>
                <w:szCs w:val="18"/>
              </w:rPr>
              <w:t>200</w:t>
            </w:r>
          </w:p>
        </w:tc>
        <w:tc>
          <w:tcPr>
            <w:tcW w:w="476" w:type="pct"/>
            <w:tcBorders>
              <w:top w:val="single" w:color="auto" w:sz="8" w:space="0"/>
              <w:right w:val="single" w:color="auto" w:sz="8" w:space="0"/>
            </w:tcBorders>
            <w:shd w:val="clear" w:color="auto" w:fill="auto"/>
            <w:vAlign w:val="center"/>
          </w:tcPr>
          <w:p w14:paraId="0353C086">
            <w:pPr>
              <w:pStyle w:val="180"/>
              <w:rPr>
                <w:rFonts w:hAnsi="宋体"/>
                <w:szCs w:val="18"/>
              </w:rPr>
            </w:pPr>
            <w:r>
              <w:rPr>
                <w:rFonts w:hint="eastAsia" w:hAnsi="宋体"/>
                <w:szCs w:val="18"/>
              </w:rPr>
              <w:t>≥</w:t>
            </w:r>
            <w:r>
              <w:rPr>
                <w:rFonts w:hAnsi="宋体"/>
                <w:szCs w:val="18"/>
              </w:rPr>
              <w:t>15</w:t>
            </w:r>
          </w:p>
        </w:tc>
        <w:tc>
          <w:tcPr>
            <w:tcW w:w="477" w:type="pct"/>
            <w:tcBorders>
              <w:top w:val="single" w:color="auto" w:sz="8" w:space="0"/>
              <w:right w:val="single" w:color="auto" w:sz="8" w:space="0"/>
            </w:tcBorders>
            <w:vAlign w:val="center"/>
          </w:tcPr>
          <w:p w14:paraId="3F0D98DD">
            <w:pPr>
              <w:pStyle w:val="180"/>
              <w:rPr>
                <w:rFonts w:hAnsi="宋体"/>
                <w:szCs w:val="18"/>
              </w:rPr>
            </w:pPr>
            <w:r>
              <w:rPr>
                <w:rFonts w:hint="eastAsia" w:hAnsi="宋体"/>
                <w:szCs w:val="18"/>
              </w:rPr>
              <w:t>/</w:t>
            </w:r>
          </w:p>
        </w:tc>
      </w:tr>
      <w:tr w14:paraId="4A9846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7" w:hRule="atLeast"/>
          <w:jc w:val="center"/>
        </w:trPr>
        <w:tc>
          <w:tcPr>
            <w:tcW w:w="471" w:type="pct"/>
            <w:vMerge w:val="continue"/>
            <w:shd w:val="clear" w:color="auto" w:fill="auto"/>
            <w:vAlign w:val="center"/>
          </w:tcPr>
          <w:p w14:paraId="422850E7">
            <w:pPr>
              <w:pStyle w:val="180"/>
              <w:rPr>
                <w:rFonts w:hAnsi="宋体"/>
                <w:szCs w:val="18"/>
              </w:rPr>
            </w:pPr>
          </w:p>
        </w:tc>
        <w:tc>
          <w:tcPr>
            <w:tcW w:w="556" w:type="pct"/>
            <w:shd w:val="clear" w:color="auto" w:fill="auto"/>
            <w:vAlign w:val="center"/>
          </w:tcPr>
          <w:p w14:paraId="1FB479E6">
            <w:pPr>
              <w:pStyle w:val="180"/>
              <w:rPr>
                <w:rFonts w:hAnsi="宋体"/>
                <w:szCs w:val="18"/>
              </w:rPr>
            </w:pPr>
            <w:r>
              <w:rPr>
                <w:rFonts w:hint="eastAsia" w:hAnsi="宋体"/>
                <w:szCs w:val="18"/>
              </w:rPr>
              <w:t>重点调查区</w:t>
            </w:r>
          </w:p>
        </w:tc>
        <w:tc>
          <w:tcPr>
            <w:tcW w:w="556" w:type="pct"/>
            <w:shd w:val="clear" w:color="auto" w:fill="auto"/>
            <w:vAlign w:val="center"/>
          </w:tcPr>
          <w:p w14:paraId="69B52712">
            <w:pPr>
              <w:pStyle w:val="180"/>
              <w:rPr>
                <w:rFonts w:hAnsi="宋体"/>
                <w:szCs w:val="18"/>
              </w:rPr>
            </w:pPr>
            <w:r>
              <w:rPr>
                <w:rFonts w:hAnsi="宋体"/>
                <w:szCs w:val="18"/>
              </w:rPr>
              <w:t>1:2000</w:t>
            </w:r>
          </w:p>
        </w:tc>
        <w:tc>
          <w:tcPr>
            <w:tcW w:w="477" w:type="pct"/>
            <w:shd w:val="clear" w:color="auto" w:fill="auto"/>
            <w:vAlign w:val="center"/>
          </w:tcPr>
          <w:p w14:paraId="65A8D86B">
            <w:pPr>
              <w:pStyle w:val="180"/>
              <w:rPr>
                <w:rFonts w:hAnsi="宋体"/>
                <w:szCs w:val="18"/>
              </w:rPr>
            </w:pPr>
            <w:r>
              <w:rPr>
                <w:rFonts w:hint="eastAsia" w:hAnsi="宋体"/>
                <w:szCs w:val="18"/>
              </w:rPr>
              <w:t>≥</w:t>
            </w:r>
            <w:r>
              <w:rPr>
                <w:rFonts w:hAnsi="宋体"/>
                <w:szCs w:val="18"/>
              </w:rPr>
              <w:t>1000</w:t>
            </w:r>
          </w:p>
        </w:tc>
        <w:tc>
          <w:tcPr>
            <w:tcW w:w="476" w:type="pct"/>
            <w:shd w:val="clear" w:color="auto" w:fill="auto"/>
            <w:vAlign w:val="center"/>
          </w:tcPr>
          <w:p w14:paraId="19837CE1">
            <w:pPr>
              <w:pStyle w:val="180"/>
              <w:rPr>
                <w:rFonts w:hAnsi="宋体"/>
                <w:szCs w:val="18"/>
              </w:rPr>
            </w:pPr>
            <w:r>
              <w:rPr>
                <w:rFonts w:hint="eastAsia" w:hAnsi="宋体"/>
                <w:szCs w:val="18"/>
              </w:rPr>
              <w:t>≥</w:t>
            </w:r>
            <w:r>
              <w:rPr>
                <w:rFonts w:hAnsi="宋体"/>
                <w:szCs w:val="18"/>
              </w:rPr>
              <w:t>20</w:t>
            </w:r>
          </w:p>
        </w:tc>
        <w:tc>
          <w:tcPr>
            <w:tcW w:w="477" w:type="pct"/>
            <w:shd w:val="clear" w:color="auto" w:fill="auto"/>
            <w:vAlign w:val="center"/>
          </w:tcPr>
          <w:p w14:paraId="645A8ED1">
            <w:pPr>
              <w:pStyle w:val="180"/>
              <w:rPr>
                <w:rFonts w:hAnsi="宋体"/>
                <w:szCs w:val="18"/>
              </w:rPr>
            </w:pPr>
            <w:r>
              <w:rPr>
                <w:rFonts w:hint="eastAsia" w:hAnsi="宋体"/>
                <w:szCs w:val="18"/>
              </w:rPr>
              <w:t>≥</w:t>
            </w:r>
            <w:r>
              <w:rPr>
                <w:rFonts w:hAnsi="宋体"/>
                <w:szCs w:val="18"/>
              </w:rPr>
              <w:t>300</w:t>
            </w:r>
          </w:p>
        </w:tc>
        <w:tc>
          <w:tcPr>
            <w:tcW w:w="556" w:type="pct"/>
            <w:shd w:val="clear" w:color="auto" w:fill="auto"/>
            <w:vAlign w:val="center"/>
          </w:tcPr>
          <w:p w14:paraId="0125C1EB">
            <w:pPr>
              <w:pStyle w:val="180"/>
              <w:rPr>
                <w:rFonts w:hAnsi="宋体"/>
                <w:szCs w:val="18"/>
              </w:rPr>
            </w:pPr>
            <w:r>
              <w:rPr>
                <w:rFonts w:hint="eastAsia" w:hAnsi="宋体"/>
                <w:szCs w:val="18"/>
              </w:rPr>
              <w:t>≥</w:t>
            </w:r>
            <w:r>
              <w:rPr>
                <w:rFonts w:hAnsi="宋体"/>
                <w:szCs w:val="18"/>
              </w:rPr>
              <w:t>50</w:t>
            </w:r>
          </w:p>
        </w:tc>
        <w:tc>
          <w:tcPr>
            <w:tcW w:w="477" w:type="pct"/>
            <w:shd w:val="clear" w:color="auto" w:fill="auto"/>
            <w:vAlign w:val="center"/>
          </w:tcPr>
          <w:p w14:paraId="208D0D9E">
            <w:pPr>
              <w:pStyle w:val="180"/>
              <w:rPr>
                <w:rFonts w:hAnsi="宋体"/>
                <w:szCs w:val="18"/>
              </w:rPr>
            </w:pPr>
            <w:r>
              <w:rPr>
                <w:rFonts w:hint="eastAsia" w:hAnsi="宋体"/>
                <w:szCs w:val="18"/>
              </w:rPr>
              <w:t>≥</w:t>
            </w:r>
            <w:r>
              <w:rPr>
                <w:rFonts w:hAnsi="宋体"/>
                <w:szCs w:val="18"/>
              </w:rPr>
              <w:t>1000</w:t>
            </w:r>
          </w:p>
        </w:tc>
        <w:tc>
          <w:tcPr>
            <w:tcW w:w="476" w:type="pct"/>
            <w:tcBorders>
              <w:right w:val="single" w:color="auto" w:sz="8" w:space="0"/>
            </w:tcBorders>
            <w:shd w:val="clear" w:color="auto" w:fill="auto"/>
            <w:vAlign w:val="center"/>
          </w:tcPr>
          <w:p w14:paraId="5E50378C">
            <w:pPr>
              <w:pStyle w:val="180"/>
              <w:rPr>
                <w:rFonts w:hAnsi="宋体"/>
                <w:szCs w:val="18"/>
              </w:rPr>
            </w:pPr>
            <w:r>
              <w:rPr>
                <w:rFonts w:hint="eastAsia" w:hAnsi="宋体"/>
                <w:szCs w:val="18"/>
              </w:rPr>
              <w:t>≥</w:t>
            </w:r>
            <w:r>
              <w:rPr>
                <w:rFonts w:hAnsi="宋体"/>
                <w:szCs w:val="18"/>
              </w:rPr>
              <w:t>80</w:t>
            </w:r>
          </w:p>
        </w:tc>
        <w:tc>
          <w:tcPr>
            <w:tcW w:w="477" w:type="pct"/>
            <w:tcBorders>
              <w:right w:val="single" w:color="auto" w:sz="8" w:space="0"/>
            </w:tcBorders>
            <w:vAlign w:val="center"/>
          </w:tcPr>
          <w:p w14:paraId="466FD056">
            <w:pPr>
              <w:pStyle w:val="180"/>
              <w:rPr>
                <w:rFonts w:hAnsi="宋体"/>
                <w:szCs w:val="18"/>
              </w:rPr>
            </w:pPr>
            <w:r>
              <w:rPr>
                <w:rFonts w:hint="eastAsia" w:hAnsi="宋体"/>
                <w:szCs w:val="18"/>
              </w:rPr>
              <w:t>/</w:t>
            </w:r>
          </w:p>
        </w:tc>
      </w:tr>
      <w:tr w14:paraId="7B4A97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27" w:type="pct"/>
            <w:gridSpan w:val="2"/>
            <w:shd w:val="clear" w:color="auto" w:fill="auto"/>
            <w:vAlign w:val="center"/>
          </w:tcPr>
          <w:p w14:paraId="4ED7DB8D">
            <w:pPr>
              <w:pStyle w:val="180"/>
              <w:rPr>
                <w:rFonts w:hAnsi="宋体"/>
                <w:szCs w:val="18"/>
              </w:rPr>
            </w:pPr>
            <w:r>
              <w:rPr>
                <w:rFonts w:hint="eastAsia" w:hAnsi="宋体"/>
                <w:szCs w:val="18"/>
              </w:rPr>
              <w:t>地面沉降</w:t>
            </w:r>
          </w:p>
        </w:tc>
        <w:tc>
          <w:tcPr>
            <w:tcW w:w="556" w:type="pct"/>
            <w:shd w:val="clear" w:color="auto" w:fill="auto"/>
            <w:vAlign w:val="center"/>
          </w:tcPr>
          <w:p w14:paraId="4A0E96E0">
            <w:pPr>
              <w:pStyle w:val="180"/>
              <w:rPr>
                <w:rFonts w:hAnsi="宋体"/>
                <w:szCs w:val="18"/>
              </w:rPr>
            </w:pPr>
            <w:r>
              <w:rPr>
                <w:rFonts w:hAnsi="宋体"/>
                <w:szCs w:val="18"/>
              </w:rPr>
              <w:t>1:10000</w:t>
            </w:r>
          </w:p>
        </w:tc>
        <w:tc>
          <w:tcPr>
            <w:tcW w:w="477" w:type="pct"/>
            <w:shd w:val="clear" w:color="auto" w:fill="auto"/>
            <w:vAlign w:val="center"/>
          </w:tcPr>
          <w:p w14:paraId="2CBEE35F">
            <w:pPr>
              <w:pStyle w:val="180"/>
              <w:rPr>
                <w:rFonts w:hAnsi="宋体"/>
                <w:szCs w:val="18"/>
              </w:rPr>
            </w:pPr>
            <w:r>
              <w:rPr>
                <w:rFonts w:hint="eastAsia" w:hAnsi="宋体"/>
                <w:szCs w:val="18"/>
              </w:rPr>
              <w:t>≥</w:t>
            </w:r>
            <w:r>
              <w:rPr>
                <w:rFonts w:hAnsi="宋体"/>
                <w:szCs w:val="18"/>
              </w:rPr>
              <w:t>300</w:t>
            </w:r>
          </w:p>
        </w:tc>
        <w:tc>
          <w:tcPr>
            <w:tcW w:w="476" w:type="pct"/>
            <w:shd w:val="clear" w:color="auto" w:fill="auto"/>
            <w:vAlign w:val="center"/>
          </w:tcPr>
          <w:p w14:paraId="32257EBE">
            <w:pPr>
              <w:pStyle w:val="180"/>
              <w:rPr>
                <w:rFonts w:hAnsi="宋体"/>
                <w:szCs w:val="18"/>
              </w:rPr>
            </w:pPr>
            <w:r>
              <w:rPr>
                <w:rFonts w:hint="eastAsia" w:hAnsi="宋体"/>
                <w:szCs w:val="18"/>
              </w:rPr>
              <w:t>/</w:t>
            </w:r>
          </w:p>
        </w:tc>
        <w:tc>
          <w:tcPr>
            <w:tcW w:w="477" w:type="pct"/>
            <w:shd w:val="clear" w:color="auto" w:fill="auto"/>
            <w:vAlign w:val="center"/>
          </w:tcPr>
          <w:p w14:paraId="637C0095">
            <w:pPr>
              <w:pStyle w:val="180"/>
              <w:rPr>
                <w:rFonts w:hAnsi="宋体"/>
                <w:bCs/>
                <w:szCs w:val="18"/>
              </w:rPr>
            </w:pPr>
            <w:r>
              <w:rPr>
                <w:rFonts w:hint="eastAsia" w:hAnsi="宋体"/>
                <w:bCs/>
                <w:szCs w:val="18"/>
              </w:rPr>
              <w:t>≥</w:t>
            </w:r>
            <w:r>
              <w:rPr>
                <w:rFonts w:hAnsi="宋体"/>
                <w:bCs/>
                <w:szCs w:val="18"/>
              </w:rPr>
              <w:t>1000</w:t>
            </w:r>
          </w:p>
        </w:tc>
        <w:tc>
          <w:tcPr>
            <w:tcW w:w="556" w:type="pct"/>
            <w:shd w:val="clear" w:color="auto" w:fill="auto"/>
            <w:vAlign w:val="center"/>
          </w:tcPr>
          <w:p w14:paraId="272F51DC">
            <w:pPr>
              <w:pStyle w:val="180"/>
              <w:rPr>
                <w:rFonts w:hAnsi="宋体"/>
                <w:szCs w:val="18"/>
              </w:rPr>
            </w:pPr>
            <w:r>
              <w:rPr>
                <w:rFonts w:hint="eastAsia" w:hAnsi="宋体"/>
                <w:szCs w:val="18"/>
              </w:rPr>
              <w:t>/</w:t>
            </w:r>
          </w:p>
        </w:tc>
        <w:tc>
          <w:tcPr>
            <w:tcW w:w="477" w:type="pct"/>
            <w:shd w:val="clear" w:color="auto" w:fill="auto"/>
            <w:vAlign w:val="center"/>
          </w:tcPr>
          <w:p w14:paraId="5D6436D1">
            <w:pPr>
              <w:pStyle w:val="180"/>
              <w:rPr>
                <w:rFonts w:hAnsi="宋体"/>
                <w:bCs/>
                <w:szCs w:val="18"/>
              </w:rPr>
            </w:pPr>
            <w:r>
              <w:rPr>
                <w:rFonts w:hAnsi="宋体"/>
                <w:bCs/>
                <w:szCs w:val="18"/>
              </w:rPr>
              <w:t>/</w:t>
            </w:r>
          </w:p>
        </w:tc>
        <w:tc>
          <w:tcPr>
            <w:tcW w:w="476" w:type="pct"/>
            <w:tcBorders>
              <w:right w:val="single" w:color="auto" w:sz="8" w:space="0"/>
            </w:tcBorders>
            <w:shd w:val="clear" w:color="auto" w:fill="auto"/>
            <w:vAlign w:val="center"/>
          </w:tcPr>
          <w:p w14:paraId="6897DE38">
            <w:pPr>
              <w:pStyle w:val="180"/>
              <w:rPr>
                <w:rFonts w:hAnsi="宋体"/>
                <w:bCs/>
                <w:szCs w:val="18"/>
              </w:rPr>
            </w:pPr>
            <w:r>
              <w:rPr>
                <w:rFonts w:hint="eastAsia" w:hAnsi="宋体"/>
                <w:bCs/>
                <w:szCs w:val="18"/>
              </w:rPr>
              <w:t>≥</w:t>
            </w:r>
            <w:r>
              <w:rPr>
                <w:rFonts w:hAnsi="宋体"/>
                <w:bCs/>
                <w:szCs w:val="18"/>
              </w:rPr>
              <w:t>80</w:t>
            </w:r>
          </w:p>
        </w:tc>
        <w:tc>
          <w:tcPr>
            <w:tcW w:w="477" w:type="pct"/>
            <w:tcBorders>
              <w:right w:val="single" w:color="auto" w:sz="8" w:space="0"/>
            </w:tcBorders>
            <w:vAlign w:val="center"/>
          </w:tcPr>
          <w:p w14:paraId="2534F292">
            <w:pPr>
              <w:pStyle w:val="180"/>
              <w:rPr>
                <w:rFonts w:hAnsi="宋体"/>
                <w:szCs w:val="18"/>
              </w:rPr>
            </w:pPr>
            <w:r>
              <w:rPr>
                <w:rFonts w:hint="eastAsia" w:hAnsi="宋体"/>
                <w:szCs w:val="18"/>
              </w:rPr>
              <w:t>≥</w:t>
            </w:r>
            <w:r>
              <w:rPr>
                <w:rFonts w:hAnsi="宋体"/>
                <w:szCs w:val="18"/>
              </w:rPr>
              <w:t>20</w:t>
            </w:r>
          </w:p>
        </w:tc>
      </w:tr>
      <w:tr w14:paraId="6B13EA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27" w:type="pct"/>
            <w:gridSpan w:val="2"/>
            <w:tcBorders>
              <w:bottom w:val="single" w:color="auto" w:sz="8" w:space="0"/>
            </w:tcBorders>
            <w:shd w:val="clear" w:color="auto" w:fill="auto"/>
            <w:vAlign w:val="center"/>
          </w:tcPr>
          <w:p w14:paraId="77B2D3C8">
            <w:pPr>
              <w:pStyle w:val="180"/>
              <w:rPr>
                <w:rFonts w:hAnsi="宋体"/>
                <w:szCs w:val="18"/>
              </w:rPr>
            </w:pPr>
            <w:r>
              <w:rPr>
                <w:rFonts w:hint="eastAsia" w:hAnsi="宋体"/>
                <w:szCs w:val="18"/>
              </w:rPr>
              <w:t>地裂缝</w:t>
            </w:r>
          </w:p>
        </w:tc>
        <w:tc>
          <w:tcPr>
            <w:tcW w:w="556" w:type="pct"/>
            <w:tcBorders>
              <w:bottom w:val="single" w:color="auto" w:sz="8" w:space="0"/>
            </w:tcBorders>
            <w:shd w:val="clear" w:color="auto" w:fill="auto"/>
            <w:vAlign w:val="center"/>
          </w:tcPr>
          <w:p w14:paraId="22738F87">
            <w:pPr>
              <w:pStyle w:val="180"/>
              <w:rPr>
                <w:rFonts w:hAnsi="宋体"/>
                <w:szCs w:val="18"/>
              </w:rPr>
            </w:pPr>
            <w:r>
              <w:rPr>
                <w:rFonts w:hAnsi="宋体"/>
                <w:szCs w:val="18"/>
              </w:rPr>
              <w:t>1:10000</w:t>
            </w:r>
          </w:p>
        </w:tc>
        <w:tc>
          <w:tcPr>
            <w:tcW w:w="477" w:type="pct"/>
            <w:tcBorders>
              <w:bottom w:val="single" w:color="auto" w:sz="8" w:space="0"/>
            </w:tcBorders>
            <w:shd w:val="clear" w:color="auto" w:fill="auto"/>
            <w:vAlign w:val="center"/>
          </w:tcPr>
          <w:p w14:paraId="4655E8DD">
            <w:pPr>
              <w:pStyle w:val="180"/>
              <w:rPr>
                <w:rFonts w:hAnsi="宋体"/>
                <w:szCs w:val="18"/>
              </w:rPr>
            </w:pPr>
            <w:r>
              <w:rPr>
                <w:rFonts w:hint="eastAsia" w:hAnsi="宋体"/>
                <w:szCs w:val="18"/>
              </w:rPr>
              <w:t>≥</w:t>
            </w:r>
            <w:r>
              <w:rPr>
                <w:rFonts w:hAnsi="宋体"/>
                <w:szCs w:val="18"/>
              </w:rPr>
              <w:t>1500</w:t>
            </w:r>
          </w:p>
        </w:tc>
        <w:tc>
          <w:tcPr>
            <w:tcW w:w="476" w:type="pct"/>
            <w:tcBorders>
              <w:bottom w:val="single" w:color="auto" w:sz="8" w:space="0"/>
            </w:tcBorders>
            <w:shd w:val="clear" w:color="auto" w:fill="auto"/>
            <w:vAlign w:val="center"/>
          </w:tcPr>
          <w:p w14:paraId="68D33050">
            <w:pPr>
              <w:pStyle w:val="180"/>
              <w:rPr>
                <w:rFonts w:hAnsi="宋体"/>
                <w:szCs w:val="18"/>
              </w:rPr>
            </w:pPr>
            <w:r>
              <w:rPr>
                <w:rFonts w:hint="eastAsia" w:hAnsi="宋体"/>
                <w:szCs w:val="18"/>
              </w:rPr>
              <w:t>/</w:t>
            </w:r>
          </w:p>
        </w:tc>
        <w:tc>
          <w:tcPr>
            <w:tcW w:w="477" w:type="pct"/>
            <w:tcBorders>
              <w:bottom w:val="single" w:color="auto" w:sz="8" w:space="0"/>
            </w:tcBorders>
            <w:shd w:val="clear" w:color="auto" w:fill="auto"/>
            <w:vAlign w:val="center"/>
          </w:tcPr>
          <w:p w14:paraId="08F15897">
            <w:pPr>
              <w:pStyle w:val="180"/>
              <w:rPr>
                <w:rFonts w:hAnsi="宋体"/>
                <w:szCs w:val="18"/>
              </w:rPr>
            </w:pPr>
            <w:r>
              <w:rPr>
                <w:rFonts w:hint="eastAsia" w:hAnsi="宋体"/>
                <w:szCs w:val="18"/>
              </w:rPr>
              <w:t>≥</w:t>
            </w:r>
            <w:r>
              <w:rPr>
                <w:rFonts w:hAnsi="宋体"/>
                <w:szCs w:val="18"/>
              </w:rPr>
              <w:t>400</w:t>
            </w:r>
          </w:p>
        </w:tc>
        <w:tc>
          <w:tcPr>
            <w:tcW w:w="556" w:type="pct"/>
            <w:tcBorders>
              <w:bottom w:val="single" w:color="auto" w:sz="8" w:space="0"/>
            </w:tcBorders>
            <w:shd w:val="clear" w:color="auto" w:fill="auto"/>
            <w:vAlign w:val="center"/>
          </w:tcPr>
          <w:p w14:paraId="2DE03F12">
            <w:pPr>
              <w:pStyle w:val="180"/>
              <w:rPr>
                <w:rFonts w:hAnsi="宋体"/>
                <w:szCs w:val="18"/>
              </w:rPr>
            </w:pPr>
            <w:r>
              <w:rPr>
                <w:rFonts w:hint="eastAsia" w:hAnsi="宋体"/>
                <w:szCs w:val="18"/>
              </w:rPr>
              <w:t>≥</w:t>
            </w:r>
            <w:r>
              <w:rPr>
                <w:rFonts w:hAnsi="宋体"/>
                <w:szCs w:val="18"/>
              </w:rPr>
              <w:t>50</w:t>
            </w:r>
          </w:p>
        </w:tc>
        <w:tc>
          <w:tcPr>
            <w:tcW w:w="477" w:type="pct"/>
            <w:tcBorders>
              <w:bottom w:val="single" w:color="auto" w:sz="8" w:space="0"/>
            </w:tcBorders>
            <w:shd w:val="clear" w:color="auto" w:fill="auto"/>
            <w:vAlign w:val="center"/>
          </w:tcPr>
          <w:p w14:paraId="0EE06172">
            <w:pPr>
              <w:pStyle w:val="180"/>
              <w:rPr>
                <w:rFonts w:hAnsi="宋体"/>
                <w:szCs w:val="18"/>
              </w:rPr>
            </w:pPr>
            <w:r>
              <w:rPr>
                <w:rFonts w:hint="eastAsia" w:hAnsi="宋体"/>
                <w:szCs w:val="18"/>
              </w:rPr>
              <w:t>≥</w:t>
            </w:r>
            <w:r>
              <w:rPr>
                <w:rFonts w:hAnsi="宋体"/>
                <w:szCs w:val="18"/>
              </w:rPr>
              <w:t>1000</w:t>
            </w:r>
          </w:p>
        </w:tc>
        <w:tc>
          <w:tcPr>
            <w:tcW w:w="476" w:type="pct"/>
            <w:tcBorders>
              <w:bottom w:val="single" w:color="auto" w:sz="8" w:space="0"/>
              <w:right w:val="single" w:color="auto" w:sz="8" w:space="0"/>
            </w:tcBorders>
            <w:shd w:val="clear" w:color="auto" w:fill="auto"/>
            <w:vAlign w:val="center"/>
          </w:tcPr>
          <w:p w14:paraId="510705F7">
            <w:pPr>
              <w:pStyle w:val="180"/>
              <w:rPr>
                <w:rFonts w:hAnsi="宋体"/>
                <w:szCs w:val="18"/>
              </w:rPr>
            </w:pPr>
            <w:r>
              <w:rPr>
                <w:rFonts w:hint="eastAsia" w:hAnsi="宋体"/>
                <w:szCs w:val="18"/>
              </w:rPr>
              <w:t>≥1</w:t>
            </w:r>
            <w:r>
              <w:rPr>
                <w:rFonts w:hAnsi="宋体"/>
                <w:szCs w:val="18"/>
              </w:rPr>
              <w:t>00</w:t>
            </w:r>
          </w:p>
        </w:tc>
        <w:tc>
          <w:tcPr>
            <w:tcW w:w="477" w:type="pct"/>
            <w:tcBorders>
              <w:bottom w:val="single" w:color="auto" w:sz="8" w:space="0"/>
              <w:right w:val="single" w:color="auto" w:sz="8" w:space="0"/>
            </w:tcBorders>
            <w:vAlign w:val="center"/>
          </w:tcPr>
          <w:p w14:paraId="157CAD60">
            <w:pPr>
              <w:pStyle w:val="180"/>
              <w:rPr>
                <w:rFonts w:hAnsi="宋体"/>
                <w:szCs w:val="18"/>
              </w:rPr>
            </w:pPr>
            <w:r>
              <w:rPr>
                <w:rFonts w:hint="eastAsia" w:hAnsi="宋体"/>
                <w:szCs w:val="18"/>
              </w:rPr>
              <w:t>/</w:t>
            </w:r>
          </w:p>
        </w:tc>
      </w:tr>
      <w:tr w14:paraId="3690FB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000" w:type="pct"/>
            <w:gridSpan w:val="10"/>
            <w:tcBorders>
              <w:top w:val="single" w:color="auto" w:sz="8" w:space="0"/>
              <w:bottom w:val="single" w:color="auto" w:sz="8" w:space="0"/>
              <w:right w:val="single" w:color="auto" w:sz="8" w:space="0"/>
            </w:tcBorders>
            <w:shd w:val="clear" w:color="auto" w:fill="auto"/>
            <w:vAlign w:val="center"/>
          </w:tcPr>
          <w:p w14:paraId="7622C941">
            <w:pPr>
              <w:pStyle w:val="182"/>
              <w:rPr>
                <w:rFonts w:hAnsi="宋体"/>
              </w:rPr>
            </w:pPr>
            <w:r>
              <w:rPr>
                <w:rFonts w:hint="eastAsia" w:hAnsi="宋体"/>
              </w:rPr>
              <w:t>对于突发性地质灾害调查，典型地段勘查工作量纳入重点调查区统计；对于地面沉降、地裂缝调查，收集的钻探、样品测试等资料可纳入工作量统计；</w:t>
            </w:r>
          </w:p>
          <w:p w14:paraId="2F8FB149">
            <w:pPr>
              <w:pStyle w:val="182"/>
              <w:rPr>
                <w:rFonts w:hAnsi="宋体"/>
              </w:rPr>
            </w:pPr>
            <w:r>
              <w:rPr>
                <w:rFonts w:hint="eastAsia" w:hAnsi="宋体"/>
              </w:rPr>
              <w:t>高分辨率光学遥感、无人机遥感、InSAR、LiDAR及其他新技术新方法工作量根据需要确定。</w:t>
            </w:r>
          </w:p>
        </w:tc>
      </w:tr>
    </w:tbl>
    <w:p w14:paraId="42893F6D">
      <w:pPr>
        <w:pStyle w:val="107"/>
        <w:spacing w:before="156" w:after="156"/>
      </w:pPr>
      <w:bookmarkStart w:id="66" w:name="_Toc176194072"/>
      <w:bookmarkStart w:id="67" w:name="_Toc178172276"/>
      <w:r>
        <w:rPr>
          <w:rFonts w:hint="eastAsia"/>
        </w:rPr>
        <w:t>总体要求</w:t>
      </w:r>
      <w:bookmarkEnd w:id="66"/>
      <w:bookmarkEnd w:id="67"/>
    </w:p>
    <w:p w14:paraId="480D09C3">
      <w:pPr>
        <w:pStyle w:val="167"/>
      </w:pPr>
      <w:r>
        <w:rPr>
          <w:rFonts w:hint="eastAsia"/>
        </w:rPr>
        <w:t>野外调查工作应采用数字化填图方式。加强高分辨率光学遥感、无人机遥感、InSAR、LiDAR、地球物理勘探等技术综合应用。地质灾害调查新技术方法及适用范围见附录A。</w:t>
      </w:r>
    </w:p>
    <w:p w14:paraId="373C4912">
      <w:pPr>
        <w:pStyle w:val="167"/>
      </w:pPr>
      <w:r>
        <w:rPr>
          <w:rFonts w:hint="eastAsia"/>
        </w:rPr>
        <w:t>应充分收集利用调查区及周边区域基础地质、水工环地质、地质灾害、岩土工程勘察等已有成果资料，结合遥感解译成果及监测资料，初步分析总结地质灾害发育分布规律和成灾模式，在此基础上开展野外调查。</w:t>
      </w:r>
    </w:p>
    <w:p w14:paraId="1ECBF91B">
      <w:pPr>
        <w:pStyle w:val="167"/>
      </w:pPr>
      <w:r>
        <w:rPr>
          <w:rFonts w:hint="eastAsia"/>
        </w:rPr>
        <w:t>调查宜采用遥感调查（含无人机调查）、地面调查、测绘和勘查等技术相结合的方法综合开展。在精度满足要求的前提下，可用遥感调查等手段代替部分地面调查工作量。</w:t>
      </w:r>
    </w:p>
    <w:p w14:paraId="122031D1">
      <w:pPr>
        <w:pStyle w:val="167"/>
      </w:pPr>
      <w:r>
        <w:rPr>
          <w:rFonts w:hint="eastAsia"/>
        </w:rPr>
        <w:t>野外调查定位上图精度误差应小于 2mm，应勾绘出图斑面积大于 4mm2 的地质灾害和长度大于 2mm 的线状地物。</w:t>
      </w:r>
    </w:p>
    <w:p w14:paraId="4F1CEA93">
      <w:pPr>
        <w:pStyle w:val="167"/>
      </w:pPr>
      <w:r>
        <w:rPr>
          <w:rFonts w:hint="eastAsia"/>
        </w:rPr>
        <w:t>突发性地质灾害调查区基本工作内容要求：</w:t>
      </w:r>
    </w:p>
    <w:p w14:paraId="4D7F6938">
      <w:pPr>
        <w:pStyle w:val="176"/>
      </w:pPr>
      <w:r>
        <w:rPr>
          <w:rFonts w:hint="eastAsia"/>
        </w:rPr>
        <w:t>对于具备成灾条件的斜坡、地段或区域逐一排查，圈划地质灾害隐患的范围，确定其威胁对象（承灾体），评估其稳定性，并对每一处地质灾害隐患点（斜坡、地段或区域）给出科学合理的处置（专业监测、工程治理或避让搬迁等）建议措施。</w:t>
      </w:r>
    </w:p>
    <w:p w14:paraId="2BF4626F">
      <w:pPr>
        <w:pStyle w:val="176"/>
      </w:pPr>
      <w:r>
        <w:rPr>
          <w:rFonts w:hint="eastAsia"/>
        </w:rPr>
        <w:t>对于典型地段，应布设测绘、钻探、物探、山地工程和取样测试等手段，并采用无人机倾斜摄影测量或LiDar等对隐患点及周边区域进行大比例尺测绘，确定地质灾害威胁范围和威胁对象（承灾体），查明其主要致灾因素和失稳成灾模式，构建评价模型，评价地质灾害稳定性。</w:t>
      </w:r>
    </w:p>
    <w:p w14:paraId="485B2E00">
      <w:pPr>
        <w:pStyle w:val="176"/>
      </w:pPr>
      <w:r>
        <w:rPr>
          <w:rFonts w:hint="eastAsia"/>
        </w:rPr>
        <w:t>按相应精度，对调查区进行地质灾害易发性、危险性、易损性和风险评价，编制地质灾害易发区、危险区和风险区图。</w:t>
      </w:r>
    </w:p>
    <w:p w14:paraId="32006AB6">
      <w:pPr>
        <w:pStyle w:val="167"/>
      </w:pPr>
      <w:r>
        <w:rPr>
          <w:rFonts w:hint="eastAsia"/>
        </w:rPr>
        <w:t>地面沉降、地裂缝调查区基本工作内容与工作精度要求：</w:t>
      </w:r>
    </w:p>
    <w:p w14:paraId="550AA374">
      <w:pPr>
        <w:pStyle w:val="176"/>
        <w:numPr>
          <w:ilvl w:val="0"/>
          <w:numId w:val="32"/>
        </w:numPr>
      </w:pPr>
      <w:r>
        <w:rPr>
          <w:rFonts w:hint="eastAsia"/>
        </w:rPr>
        <w:t>重点调查区按不小于1:10000要求开展调查，调查以收集以往成果资料为主，宜采用无人机倾斜摄影测量、LiDar和InSAR等进行大比例尺调查与测绘。必要时辅以物探、钻探、取样测试、试验等工作手段等工作，查明孕灾地质条件、诱发因素</w:t>
      </w:r>
    </w:p>
    <w:p w14:paraId="142D8318">
      <w:pPr>
        <w:pStyle w:val="176"/>
      </w:pPr>
      <w:r>
        <w:rPr>
          <w:rFonts w:hint="eastAsia"/>
        </w:rPr>
        <w:t>按相应精度，进行地质灾害易发性、危险性、易损性和风险性评价，编制地质灾害易发区、危险区和风险分区图。</w:t>
      </w:r>
    </w:p>
    <w:p w14:paraId="74B26A71">
      <w:pPr>
        <w:pStyle w:val="167"/>
      </w:pPr>
      <w:r>
        <w:rPr>
          <w:rFonts w:hint="eastAsia"/>
        </w:rPr>
        <w:t>应分别开展单灾种评价，当调查区同时发育多种地质灾害且空间位置部分重叠时，应按就高原则确定评价结果。</w:t>
      </w:r>
    </w:p>
    <w:p w14:paraId="1FD5BF5C">
      <w:pPr>
        <w:pStyle w:val="107"/>
        <w:spacing w:before="156" w:after="156"/>
      </w:pPr>
      <w:bookmarkStart w:id="68" w:name="_Toc178172277"/>
      <w:bookmarkStart w:id="69" w:name="_Toc176194073"/>
      <w:r>
        <w:rPr>
          <w:rFonts w:hint="eastAsia"/>
        </w:rPr>
        <w:t>工作流程</w:t>
      </w:r>
      <w:bookmarkEnd w:id="68"/>
      <w:bookmarkEnd w:id="69"/>
    </w:p>
    <w:p w14:paraId="36A3E541">
      <w:pPr>
        <w:pStyle w:val="58"/>
        <w:ind w:firstLine="420"/>
      </w:pPr>
      <w:r>
        <w:rPr>
          <w:rFonts w:hint="eastAsia"/>
        </w:rPr>
        <w:t>工作流程见图1。</w:t>
      </w:r>
    </w:p>
    <w:p w14:paraId="0EBA5881">
      <w:pPr>
        <w:pStyle w:val="58"/>
        <w:ind w:firstLine="199" w:firstLineChars="95"/>
        <w:jc w:val="center"/>
      </w:pPr>
      <w:r>
        <w:drawing>
          <wp:inline distT="0" distB="0" distL="0" distR="0">
            <wp:extent cx="5129530" cy="6604000"/>
            <wp:effectExtent l="0" t="0" r="0" b="6350"/>
            <wp:docPr id="147422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298"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154495" cy="6635906"/>
                    </a:xfrm>
                    <a:prstGeom prst="rect">
                      <a:avLst/>
                    </a:prstGeom>
                    <a:noFill/>
                    <a:ln>
                      <a:noFill/>
                    </a:ln>
                  </pic:spPr>
                </pic:pic>
              </a:graphicData>
            </a:graphic>
          </wp:inline>
        </w:drawing>
      </w:r>
    </w:p>
    <w:p w14:paraId="240E3D87">
      <w:pPr>
        <w:pStyle w:val="116"/>
        <w:spacing w:before="156" w:after="156"/>
      </w:pPr>
      <w:r>
        <w:rPr>
          <w:rFonts w:hint="eastAsia"/>
        </w:rPr>
        <w:t>工作流程图</w:t>
      </w:r>
    </w:p>
    <w:p w14:paraId="16704E00">
      <w:pPr>
        <w:pStyle w:val="106"/>
        <w:spacing w:before="312" w:after="312"/>
      </w:pPr>
      <w:bookmarkStart w:id="70" w:name="_Toc176194074"/>
      <w:bookmarkStart w:id="71" w:name="_Toc178172278"/>
      <w:r>
        <w:rPr>
          <w:rFonts w:hint="eastAsia"/>
        </w:rPr>
        <w:t>调查评价单元划分</w:t>
      </w:r>
      <w:bookmarkEnd w:id="70"/>
      <w:bookmarkEnd w:id="71"/>
    </w:p>
    <w:p w14:paraId="45749378">
      <w:pPr>
        <w:pStyle w:val="107"/>
        <w:spacing w:before="156" w:after="156"/>
      </w:pPr>
      <w:bookmarkStart w:id="72" w:name="_Toc176194075"/>
      <w:bookmarkStart w:id="73" w:name="_Toc178172279"/>
      <w:r>
        <w:rPr>
          <w:rFonts w:hint="eastAsia"/>
        </w:rPr>
        <w:t>滑坡、崩塌、泥石流单元</w:t>
      </w:r>
      <w:bookmarkEnd w:id="72"/>
      <w:bookmarkEnd w:id="73"/>
    </w:p>
    <w:p w14:paraId="5D56C5FB">
      <w:pPr>
        <w:pStyle w:val="58"/>
        <w:ind w:firstLine="420"/>
      </w:pPr>
      <w:r>
        <w:rPr>
          <w:rFonts w:hint="eastAsia"/>
        </w:rPr>
        <w:t>山地丘陵区原则上以斜坡单元为基本单位开展野外调查和评价，沟道、沟口有承灾体且可能存在泥石流地质灾害隐患的沟谷，应在斜坡单元划分的基础上，划分沟谷流域调查评价单元。斜坡单元按照以下原则划分，具体划分步骤可参考附录B。</w:t>
      </w:r>
    </w:p>
    <w:p w14:paraId="64F617E8">
      <w:pPr>
        <w:pStyle w:val="176"/>
        <w:numPr>
          <w:ilvl w:val="0"/>
          <w:numId w:val="33"/>
        </w:numPr>
      </w:pPr>
      <w:r>
        <w:rPr>
          <w:rFonts w:hint="eastAsia"/>
        </w:rPr>
        <w:t xml:space="preserve">同一个斜坡单元应有相似的地质环境条件或成灾机制和致灾模式； </w:t>
      </w:r>
    </w:p>
    <w:p w14:paraId="5000046F">
      <w:pPr>
        <w:pStyle w:val="176"/>
      </w:pPr>
      <w:r>
        <w:rPr>
          <w:rFonts w:hint="eastAsia"/>
        </w:rPr>
        <w:t>上部及两侧以分水岭与沟谷为界，下部应包含可能影响的居民区、道路或河流等，并考虑微地貌特征和单元间的衔接；</w:t>
      </w:r>
    </w:p>
    <w:p w14:paraId="2BB6F868">
      <w:pPr>
        <w:pStyle w:val="176"/>
      </w:pPr>
      <w:r>
        <w:rPr>
          <w:rFonts w:hint="eastAsia"/>
        </w:rPr>
        <w:t>合理划分斜坡单元大小，原则上数量不少于 10个/km</w:t>
      </w:r>
      <w:r>
        <w:rPr>
          <w:rFonts w:hint="eastAsia"/>
          <w:vertAlign w:val="superscript"/>
        </w:rPr>
        <w:t>2</w:t>
      </w:r>
      <w:r>
        <w:rPr>
          <w:rFonts w:hint="eastAsia"/>
        </w:rPr>
        <w:t>。重点调查区应适当加密，对人员无法到达的大面积无人区，可适当减少斜坡单元数量；</w:t>
      </w:r>
    </w:p>
    <w:p w14:paraId="2D1805C3">
      <w:pPr>
        <w:pStyle w:val="176"/>
      </w:pPr>
      <w:r>
        <w:rPr>
          <w:rFonts w:hint="eastAsia"/>
        </w:rPr>
        <w:t>便于开展风险管理。</w:t>
      </w:r>
    </w:p>
    <w:p w14:paraId="6B18BAC2">
      <w:pPr>
        <w:pStyle w:val="107"/>
        <w:spacing w:before="156" w:after="156"/>
      </w:pPr>
      <w:bookmarkStart w:id="74" w:name="_Toc176194076"/>
      <w:bookmarkStart w:id="75" w:name="_Toc178172280"/>
      <w:r>
        <w:rPr>
          <w:rFonts w:hint="eastAsia"/>
        </w:rPr>
        <w:t>地面塌陷单元</w:t>
      </w:r>
      <w:bookmarkEnd w:id="74"/>
      <w:bookmarkEnd w:id="75"/>
    </w:p>
    <w:p w14:paraId="482F8161">
      <w:pPr>
        <w:pStyle w:val="58"/>
        <w:ind w:firstLine="420"/>
      </w:pPr>
      <w:r>
        <w:rPr>
          <w:rFonts w:hint="eastAsia"/>
        </w:rPr>
        <w:t>地面塌陷调查单元应按可溶岩分布区或采空区范围划定。</w:t>
      </w:r>
    </w:p>
    <w:p w14:paraId="63C89FA6">
      <w:pPr>
        <w:pStyle w:val="107"/>
        <w:spacing w:before="156" w:after="156"/>
      </w:pPr>
      <w:bookmarkStart w:id="76" w:name="_Toc178172281"/>
      <w:bookmarkStart w:id="77" w:name="_Toc176194077"/>
      <w:r>
        <w:rPr>
          <w:rFonts w:hint="eastAsia"/>
        </w:rPr>
        <w:t>地面沉降单元</w:t>
      </w:r>
      <w:bookmarkEnd w:id="76"/>
      <w:bookmarkEnd w:id="77"/>
    </w:p>
    <w:p w14:paraId="22459272">
      <w:pPr>
        <w:pStyle w:val="58"/>
        <w:ind w:firstLine="420"/>
      </w:pPr>
      <w:r>
        <w:rPr>
          <w:rFonts w:hint="eastAsia"/>
        </w:rPr>
        <w:t>地面沉降调查单元按地面沉降或地下水位漏斗分布区划定。</w:t>
      </w:r>
    </w:p>
    <w:p w14:paraId="3FBFBB55">
      <w:pPr>
        <w:pStyle w:val="107"/>
        <w:spacing w:before="156" w:after="156"/>
      </w:pPr>
      <w:bookmarkStart w:id="78" w:name="_Toc178172282"/>
      <w:bookmarkStart w:id="79" w:name="_Toc176194078"/>
      <w:r>
        <w:rPr>
          <w:rFonts w:hint="eastAsia"/>
        </w:rPr>
        <w:t>地裂缝单元</w:t>
      </w:r>
      <w:bookmarkEnd w:id="78"/>
      <w:bookmarkEnd w:id="79"/>
    </w:p>
    <w:p w14:paraId="00887EEE">
      <w:pPr>
        <w:pStyle w:val="58"/>
        <w:ind w:firstLine="420"/>
      </w:pPr>
      <w:r>
        <w:rPr>
          <w:rFonts w:hint="eastAsia"/>
        </w:rPr>
        <w:t>地裂缝调查单元按历史地面沉降、地裂缝发育严重程度划定。</w:t>
      </w:r>
    </w:p>
    <w:p w14:paraId="735C596D">
      <w:pPr>
        <w:pStyle w:val="106"/>
        <w:spacing w:before="312" w:after="312"/>
      </w:pPr>
      <w:bookmarkStart w:id="80" w:name="_Toc178172283"/>
      <w:bookmarkStart w:id="81" w:name="_Toc176194079"/>
      <w:r>
        <w:rPr>
          <w:rFonts w:hint="eastAsia"/>
        </w:rPr>
        <w:t>基本调查方法</w:t>
      </w:r>
      <w:bookmarkEnd w:id="80"/>
      <w:bookmarkEnd w:id="81"/>
    </w:p>
    <w:p w14:paraId="521E6BF4">
      <w:pPr>
        <w:pStyle w:val="107"/>
        <w:spacing w:before="156" w:after="156"/>
      </w:pPr>
      <w:bookmarkStart w:id="82" w:name="_Toc176194080"/>
      <w:bookmarkStart w:id="83" w:name="_Toc178172284"/>
      <w:r>
        <w:rPr>
          <w:rFonts w:hint="eastAsia"/>
        </w:rPr>
        <w:t>资料收集</w:t>
      </w:r>
      <w:bookmarkEnd w:id="82"/>
      <w:bookmarkEnd w:id="83"/>
    </w:p>
    <w:p w14:paraId="6B1FC1AC">
      <w:pPr>
        <w:pStyle w:val="167"/>
      </w:pPr>
      <w:r>
        <w:rPr>
          <w:rFonts w:hint="eastAsia"/>
        </w:rPr>
        <w:t>收集地质灾害形成条件与诱发因素资料，包括：气象、水文、地形地貌、植被、地层岩性与构造、地震、水文地质、工程地质以及矿产资源开发利用、地下水开采利用和其他人类工程活动等。</w:t>
      </w:r>
    </w:p>
    <w:p w14:paraId="3C55DC0B">
      <w:pPr>
        <w:pStyle w:val="167"/>
      </w:pPr>
      <w:r>
        <w:rPr>
          <w:rFonts w:hint="eastAsia"/>
        </w:rPr>
        <w:t>收集地质灾害与防治资料，包括：历史上各类地质灾害的发生时间、类型、规模、灾险情、雨情，已开展的调查、监测、评价、勘查、设计、治理、应急处置等资料。</w:t>
      </w:r>
    </w:p>
    <w:p w14:paraId="44E775E0">
      <w:pPr>
        <w:pStyle w:val="167"/>
      </w:pPr>
      <w:r>
        <w:rPr>
          <w:rFonts w:hint="eastAsia"/>
        </w:rPr>
        <w:t>收集社会经济资料，包括：人口普查、国民经济和社会发展、地理国情普查、不动产登记、住房信息等基本数据，城镇、农业、水利水电、交通、矿山、土地利用等建设工程分布状况，国土空间、国民经济建设、生态环境保护等各类自然资源、人文资源及其利用规划。</w:t>
      </w:r>
    </w:p>
    <w:p w14:paraId="54188454">
      <w:pPr>
        <w:pStyle w:val="167"/>
      </w:pPr>
      <w:r>
        <w:rPr>
          <w:rFonts w:hint="eastAsia"/>
        </w:rPr>
        <w:t>收集地质灾害防治相关法规、规划和防灾体系建设等方面的资料。</w:t>
      </w:r>
    </w:p>
    <w:p w14:paraId="6C3D43D0">
      <w:pPr>
        <w:pStyle w:val="107"/>
        <w:spacing w:before="156" w:after="156"/>
      </w:pPr>
      <w:bookmarkStart w:id="84" w:name="_Toc176194081"/>
      <w:bookmarkStart w:id="85" w:name="_Toc178172285"/>
      <w:r>
        <w:rPr>
          <w:rFonts w:hint="eastAsia"/>
        </w:rPr>
        <w:t>遥感调查</w:t>
      </w:r>
      <w:bookmarkEnd w:id="84"/>
      <w:bookmarkEnd w:id="85"/>
    </w:p>
    <w:p w14:paraId="0551162F">
      <w:pPr>
        <w:pStyle w:val="167"/>
      </w:pPr>
      <w:r>
        <w:rPr>
          <w:rFonts w:hint="eastAsia"/>
        </w:rPr>
        <w:t>针对不同调查、评价精度，应充分采用多分辨、多时相遥感技术，遥感信息源宜选用卫星、航空遥感影像资料。遥感解译范围不应小于调查区范围。</w:t>
      </w:r>
    </w:p>
    <w:p w14:paraId="12CCC3BF">
      <w:pPr>
        <w:pStyle w:val="167"/>
      </w:pPr>
      <w:r>
        <w:rPr>
          <w:rFonts w:hint="eastAsia"/>
        </w:rPr>
        <w:t>对于山地区域，应充分利用已有的高精度遥感影像和地理测绘信息开展遥感解译与调查。遥感调查信息源精度应符合下列要求：</w:t>
      </w:r>
    </w:p>
    <w:p w14:paraId="547E3DFA">
      <w:pPr>
        <w:pStyle w:val="176"/>
        <w:numPr>
          <w:ilvl w:val="0"/>
          <w:numId w:val="34"/>
        </w:numPr>
      </w:pPr>
      <w:r>
        <w:rPr>
          <w:rFonts w:hint="eastAsia"/>
        </w:rPr>
        <w:t>重点调查区，应选用空间分辨率优于 0.5m 的信息源；</w:t>
      </w:r>
    </w:p>
    <w:p w14:paraId="0A1C7440">
      <w:pPr>
        <w:pStyle w:val="176"/>
      </w:pPr>
      <w:r>
        <w:rPr>
          <w:rFonts w:hint="eastAsia"/>
        </w:rPr>
        <w:t>一般调查区，应选用空间分辨率优于 1m 的信息源；</w:t>
      </w:r>
    </w:p>
    <w:p w14:paraId="00A46B6F">
      <w:pPr>
        <w:pStyle w:val="167"/>
      </w:pPr>
      <w:r>
        <w:rPr>
          <w:rFonts w:hint="eastAsia"/>
        </w:rPr>
        <w:t>遥感解译前应采用国家控制点、地形图采集、现场实测点等，对遥感图像消除畸变，与地理坐标配准，对卫星遥感影像进行几何校正。</w:t>
      </w:r>
    </w:p>
    <w:p w14:paraId="3EBA2CEF">
      <w:pPr>
        <w:pStyle w:val="167"/>
      </w:pPr>
      <w:r>
        <w:rPr>
          <w:rFonts w:hint="eastAsia"/>
        </w:rPr>
        <w:t>在地面沉降监测资料较少地区，宜优先利用 InSAR 技术进行调查，具体参照 DZ/T 0154相关规定执行。</w:t>
      </w:r>
    </w:p>
    <w:p w14:paraId="075A9BBB">
      <w:pPr>
        <w:pStyle w:val="167"/>
      </w:pPr>
      <w:r>
        <w:rPr>
          <w:rFonts w:hint="eastAsia"/>
        </w:rPr>
        <w:t>遥感影像采集时间段应尽量满足下列要求：</w:t>
      </w:r>
    </w:p>
    <w:p w14:paraId="3A14F7C7">
      <w:pPr>
        <w:pStyle w:val="176"/>
        <w:numPr>
          <w:ilvl w:val="0"/>
          <w:numId w:val="35"/>
        </w:numPr>
      </w:pPr>
      <w:r>
        <w:rPr>
          <w:rFonts w:hint="eastAsia"/>
        </w:rPr>
        <w:t>对于突发性地质灾害，采集时间距开展工作时间一般不应超过 2 年，云、雪等覆盖量应小于 5%，且不能覆盖重要地物，图像的条带、噪声应尽可能少。</w:t>
      </w:r>
    </w:p>
    <w:p w14:paraId="51725287">
      <w:pPr>
        <w:pStyle w:val="176"/>
      </w:pPr>
      <w:r>
        <w:rPr>
          <w:rFonts w:hint="eastAsia"/>
        </w:rPr>
        <w:t>对于地面沉降及地裂缝，解译时宜选用具有代表性的 3 个及以上不同时期遥感影像进行对比分析。不同时期遥感影像应能充分说明地面沉降及地裂缝的发育特征及趋势。</w:t>
      </w:r>
    </w:p>
    <w:p w14:paraId="29D4D897">
      <w:pPr>
        <w:pStyle w:val="167"/>
      </w:pPr>
      <w:r>
        <w:rPr>
          <w:rFonts w:hint="eastAsia"/>
        </w:rPr>
        <w:t>遥感调查内容包括：</w:t>
      </w:r>
    </w:p>
    <w:p w14:paraId="6585E0A3">
      <w:pPr>
        <w:pStyle w:val="176"/>
        <w:numPr>
          <w:ilvl w:val="0"/>
          <w:numId w:val="36"/>
        </w:numPr>
      </w:pPr>
      <w:r>
        <w:rPr>
          <w:rFonts w:hint="eastAsia"/>
        </w:rPr>
        <w:t>孕灾地质条件调查。包括：调查与滑坡、崩塌、泥石流等发育相关的植被、地质界线、地质构造、地形地貌、微地貌（坡型、坡向、坡度、沟谷等）、岩土体类型、松散物质分布、土地利用、沟道挤占情况等；</w:t>
      </w:r>
    </w:p>
    <w:p w14:paraId="5C07A781">
      <w:pPr>
        <w:pStyle w:val="176"/>
      </w:pPr>
      <w:r>
        <w:rPr>
          <w:rFonts w:hint="eastAsia"/>
        </w:rPr>
        <w:t>地质灾害及隐患调查。包括：识别地质灾害体、确定灾害体的空间分布特征、灾害类型、边界、规模、形态特征等，分析其位移特征、活动状态、发育规律及发展趋势，并判定其危害范围和程度；</w:t>
      </w:r>
    </w:p>
    <w:p w14:paraId="2CB1D4FC">
      <w:pPr>
        <w:pStyle w:val="176"/>
      </w:pPr>
      <w:r>
        <w:rPr>
          <w:rFonts w:hint="eastAsia"/>
        </w:rPr>
        <w:t>承灾体调查。包括：识别承灾体，调查承灾体的类型、结构、分布等。</w:t>
      </w:r>
    </w:p>
    <w:p w14:paraId="3D448836">
      <w:pPr>
        <w:pStyle w:val="167"/>
      </w:pPr>
      <w:r>
        <w:rPr>
          <w:rFonts w:hint="eastAsia"/>
        </w:rPr>
        <w:t>建立遥感解译标志。基于区内遥感解译结果，结合野外实地踏勘验证，建立典型地质灾害类型、地质灾害体要素、地貌、地质构造、岩（土）体类型、松散物质、土地覆盖类型和人类工程活动等的遥感解译标志。按附录C表C.1要求填写遥感解译及野外验证信息表。</w:t>
      </w:r>
    </w:p>
    <w:p w14:paraId="092A5018">
      <w:pPr>
        <w:pStyle w:val="167"/>
      </w:pPr>
      <w:r>
        <w:rPr>
          <w:rFonts w:hint="eastAsia"/>
        </w:rPr>
        <w:t>遥感解译成果。应编制全区地质灾害遥感解译图（1:10 000）。提交专门遥感调查报告，内容包括：目的任务、完成主要工作量；调查质量评述；遥感数据情况（类型、分辨率、接收时间）；图像处理、遥感解译、图件编制的技术方法；解译结果；综合分析灾害形成的基本地质环境条件、触发因素及灾害发育规律，评价其影响及危害。</w:t>
      </w:r>
    </w:p>
    <w:p w14:paraId="161A8F20">
      <w:pPr>
        <w:pStyle w:val="167"/>
      </w:pPr>
      <w:r>
        <w:rPr>
          <w:rFonts w:hint="eastAsia"/>
        </w:rPr>
        <w:t>其他具体要求参照 DZ/T 0261 相关规定执行。</w:t>
      </w:r>
    </w:p>
    <w:p w14:paraId="2EE87822">
      <w:pPr>
        <w:pStyle w:val="107"/>
        <w:spacing w:before="156" w:after="156"/>
      </w:pPr>
      <w:bookmarkStart w:id="86" w:name="_Toc178172286"/>
      <w:bookmarkStart w:id="87" w:name="_Toc176194082"/>
      <w:r>
        <w:rPr>
          <w:rFonts w:hint="eastAsia"/>
        </w:rPr>
        <w:t>地面调查</w:t>
      </w:r>
      <w:bookmarkEnd w:id="86"/>
      <w:bookmarkEnd w:id="87"/>
    </w:p>
    <w:p w14:paraId="0A003F51">
      <w:pPr>
        <w:pStyle w:val="167"/>
      </w:pPr>
      <w:r>
        <w:rPr>
          <w:rFonts w:hint="eastAsia"/>
        </w:rPr>
        <w:t>地面调查应采用穿越法与追索法相结合的方法，应按照调查精度要求布设调查路线和控制点，查明地质灾害特征和孕灾地质条件。</w:t>
      </w:r>
    </w:p>
    <w:p w14:paraId="4689AA17">
      <w:pPr>
        <w:pStyle w:val="167"/>
      </w:pPr>
      <w:r>
        <w:rPr>
          <w:rFonts w:hint="eastAsia"/>
        </w:rPr>
        <w:t>孕灾地质条件调查点应定在具有代表性的斜坡地段，滑坡调查点定在滑坡后缘中部，泥石流调查点定在堆积扇扇顶，崩塌调查点定在崩塌（危岩体）前缘，地面塌陷调查点定在塌陷坑的周缘。</w:t>
      </w:r>
    </w:p>
    <w:p w14:paraId="2A4F1FE1">
      <w:pPr>
        <w:pStyle w:val="167"/>
      </w:pPr>
      <w:r>
        <w:rPr>
          <w:rFonts w:hint="eastAsia"/>
        </w:rPr>
        <w:t>对于同类群发地质灾害，应一点一表，不得将相邻的灾害体合定为一个观测点，对于同一地点存在的不同类型地质灾害或灾害链，以主要灾害类型为主，并做好其他类型灾害的记录。</w:t>
      </w:r>
    </w:p>
    <w:p w14:paraId="3886C751">
      <w:pPr>
        <w:pStyle w:val="167"/>
      </w:pPr>
      <w:r>
        <w:rPr>
          <w:rFonts w:hint="eastAsia"/>
        </w:rPr>
        <w:t xml:space="preserve"> 应对斜坡和人工边坡分别开展调查，分别评述斜坡和人工边坡的稳定性，并根据斜坡、人工边坡的特征和稳定性现场判断和圈定影响范围。</w:t>
      </w:r>
    </w:p>
    <w:p w14:paraId="25993A55">
      <w:pPr>
        <w:pStyle w:val="167"/>
      </w:pPr>
      <w:r>
        <w:rPr>
          <w:rFonts w:hint="eastAsia"/>
        </w:rPr>
        <w:t>对重要易崩易滑地层、主要控灾构造（结构面）、地下水异常出露、典型不良地质现象等点位，应加密布设调查点。</w:t>
      </w:r>
    </w:p>
    <w:p w14:paraId="025F826F">
      <w:pPr>
        <w:pStyle w:val="167"/>
      </w:pPr>
      <w:r>
        <w:rPr>
          <w:rFonts w:hint="eastAsia"/>
        </w:rPr>
        <w:t>地面调查记录应按照附录 C 对应表格内容逐一填写，不得遗漏主要调查要素，并做好沿途观察记录，坐标系统一采用2000国家大地坐标系。附必要的示意性平面图、剖面图或素描图以及影像资料等，典型人工边坡应増绘边坡立面图或横剖面图。</w:t>
      </w:r>
    </w:p>
    <w:p w14:paraId="7B757942">
      <w:pPr>
        <w:pStyle w:val="167"/>
      </w:pPr>
      <w:r>
        <w:rPr>
          <w:rFonts w:hint="eastAsia"/>
        </w:rPr>
        <w:t>其他具体要求参照 DZ/T 0261、DZ/T 0283 相关规定执行。</w:t>
      </w:r>
    </w:p>
    <w:p w14:paraId="5DAF3BE0">
      <w:pPr>
        <w:pStyle w:val="107"/>
        <w:spacing w:before="156" w:after="156"/>
      </w:pPr>
      <w:bookmarkStart w:id="88" w:name="_Toc178172287"/>
      <w:bookmarkStart w:id="89" w:name="_Toc176194083"/>
      <w:r>
        <w:rPr>
          <w:rFonts w:hint="eastAsia"/>
        </w:rPr>
        <w:t>物探</w:t>
      </w:r>
      <w:bookmarkEnd w:id="88"/>
      <w:bookmarkEnd w:id="89"/>
    </w:p>
    <w:p w14:paraId="423D564D">
      <w:pPr>
        <w:pStyle w:val="167"/>
      </w:pPr>
      <w:r>
        <w:rPr>
          <w:rFonts w:hint="eastAsia"/>
        </w:rPr>
        <w:t>宜针对调查需要和工作区的地质条件选择有效的物探方法，包括电法、地震、磁法、重力及放射性、测井等方法。必要时可先进行物探方法的有效性试验。</w:t>
      </w:r>
    </w:p>
    <w:p w14:paraId="46249EE4">
      <w:pPr>
        <w:pStyle w:val="167"/>
      </w:pPr>
      <w:r>
        <w:rPr>
          <w:rFonts w:hint="eastAsia"/>
        </w:rPr>
        <w:t>宜重点布设在典型斜坡区段、地质灾害及隐患点、崩塌（危岩体）源区、地面塌陷区、泥石流堆积扇等位置，结合测区地形地物条件，合理布置物探测线，重点探测工程地质岩组界线、斜坡结构类型、基覆界面、软弱层、风化程度、塌陷坑、地下空洞、地下水位、节理裂隙、滑面（带）等。</w:t>
      </w:r>
    </w:p>
    <w:p w14:paraId="05F05F48">
      <w:pPr>
        <w:pStyle w:val="167"/>
      </w:pPr>
      <w:r>
        <w:rPr>
          <w:rFonts w:hint="eastAsia"/>
        </w:rPr>
        <w:t>物探测线的布置应根据调查要求、测区地形、地物条件，因地制宜地设计。测线长度、测点间距以能控制被探测对象为原则，主要测线方向应垂直于地质灾害体的长轴方向（崩塌、滑坡体、地裂缝纵轴方向等），并尽可能通过钻孔或地质勘探线。</w:t>
      </w:r>
    </w:p>
    <w:p w14:paraId="71840773">
      <w:pPr>
        <w:pStyle w:val="167"/>
      </w:pPr>
      <w:r>
        <w:rPr>
          <w:rFonts w:hint="eastAsia"/>
        </w:rPr>
        <w:t>物探成果应包括工作方法、地质灾害的地球物理特征、资料的解释推断、已有钻探验证、结论和建议，并附相应的工作布置图、平剖面图、曲线图、解释成果图等。</w:t>
      </w:r>
    </w:p>
    <w:p w14:paraId="6C24785D">
      <w:pPr>
        <w:pStyle w:val="167"/>
      </w:pPr>
      <w:r>
        <w:rPr>
          <w:rFonts w:hint="eastAsia"/>
        </w:rPr>
        <w:t>其他具体要求参照 DZ/T 0261 相关规定执行。在区域性地面沉降、地裂缝区域，应根据工作需要参照DZ/T 0181的相关规定选择钻孔进行地球物理测井。</w:t>
      </w:r>
    </w:p>
    <w:p w14:paraId="614AE579">
      <w:pPr>
        <w:pStyle w:val="107"/>
        <w:spacing w:before="156" w:after="156"/>
      </w:pPr>
      <w:bookmarkStart w:id="90" w:name="_Toc178172288"/>
      <w:bookmarkStart w:id="91" w:name="_Toc176194084"/>
      <w:r>
        <w:rPr>
          <w:rFonts w:hint="eastAsia"/>
        </w:rPr>
        <w:t>钻探</w:t>
      </w:r>
      <w:bookmarkEnd w:id="90"/>
      <w:bookmarkEnd w:id="91"/>
    </w:p>
    <w:p w14:paraId="56795A22">
      <w:pPr>
        <w:pStyle w:val="167"/>
      </w:pPr>
      <w:r>
        <w:rPr>
          <w:rFonts w:hint="eastAsia"/>
        </w:rPr>
        <w:t>钻探应重点布设在地质灾害及隐患点、具有代表性的斜坡及典型地段上。</w:t>
      </w:r>
    </w:p>
    <w:p w14:paraId="0883BA60">
      <w:pPr>
        <w:pStyle w:val="167"/>
      </w:pPr>
      <w:r>
        <w:rPr>
          <w:rFonts w:hint="eastAsia"/>
        </w:rPr>
        <w:t>钻探应以揭露地质结构为目的，重点揭露控制性结构面、软弱层、潜在滑面（带）、覆盖层、风化带、地下水、地下采空区或岩溶洞隙等特征。</w:t>
      </w:r>
    </w:p>
    <w:p w14:paraId="40919731">
      <w:pPr>
        <w:pStyle w:val="167"/>
      </w:pPr>
      <w:r>
        <w:rPr>
          <w:rFonts w:hint="eastAsia"/>
        </w:rPr>
        <w:t>钻孔编录应按钻进回次逐次记录，钻孔地质编录应按统一表格记录。</w:t>
      </w:r>
    </w:p>
    <w:p w14:paraId="2C6213FC">
      <w:pPr>
        <w:pStyle w:val="167"/>
      </w:pPr>
      <w:r>
        <w:rPr>
          <w:rFonts w:hint="eastAsia"/>
        </w:rPr>
        <w:t>钻孔在遇到主要裂缝、软弱夹层、滑带、溶洞、断层、涌水处、漏浆处，以及换径处、下管前和终孔时，应校正孔深。</w:t>
      </w:r>
    </w:p>
    <w:p w14:paraId="49A57493">
      <w:pPr>
        <w:pStyle w:val="167"/>
      </w:pPr>
      <w:r>
        <w:rPr>
          <w:rFonts w:hint="eastAsia"/>
        </w:rPr>
        <w:t>在第四系地层、滑带和软弱夹层，应采用无水钻进钻孔。深度应穿过目标层位 3m～5m。</w:t>
      </w:r>
    </w:p>
    <w:p w14:paraId="6B7616EC">
      <w:pPr>
        <w:pStyle w:val="167"/>
      </w:pPr>
      <w:r>
        <w:rPr>
          <w:rFonts w:hint="eastAsia"/>
        </w:rPr>
        <w:t>钻探验收后，对不需保留的钻孔应进行封孔处理。</w:t>
      </w:r>
    </w:p>
    <w:p w14:paraId="2C5A4EAD">
      <w:pPr>
        <w:pStyle w:val="167"/>
      </w:pPr>
      <w:r>
        <w:rPr>
          <w:rFonts w:hint="eastAsia"/>
        </w:rPr>
        <w:t>野外验收前，应采用岩芯箱保留各孔岩芯。</w:t>
      </w:r>
    </w:p>
    <w:p w14:paraId="1F890EE7">
      <w:pPr>
        <w:pStyle w:val="167"/>
      </w:pPr>
      <w:r>
        <w:rPr>
          <w:rFonts w:hint="eastAsia"/>
        </w:rPr>
        <w:t>钻探成果资料包括：钻孔施工设计书、放样记录、钻探班报表、岩芯编录表、岩芯照片集、钻孔柱状图、采样记录、地下水位监测记录、开孔终孔通知、钻孔质量验收书、封孔记录、钻孔施工小结等。</w:t>
      </w:r>
    </w:p>
    <w:p w14:paraId="1C3142C6">
      <w:pPr>
        <w:pStyle w:val="167"/>
      </w:pPr>
      <w:r>
        <w:rPr>
          <w:rFonts w:hint="eastAsia"/>
        </w:rPr>
        <w:t>其他具体要求参照DZ/T  0261相关规定执行。</w:t>
      </w:r>
    </w:p>
    <w:p w14:paraId="5BF4F790">
      <w:pPr>
        <w:pStyle w:val="107"/>
        <w:spacing w:before="156" w:after="156"/>
      </w:pPr>
      <w:bookmarkStart w:id="92" w:name="_Toc176194085"/>
      <w:bookmarkStart w:id="93" w:name="_Toc178172289"/>
      <w:r>
        <w:rPr>
          <w:rFonts w:hint="eastAsia"/>
        </w:rPr>
        <w:t>山地工程</w:t>
      </w:r>
      <w:bookmarkEnd w:id="92"/>
      <w:bookmarkEnd w:id="93"/>
    </w:p>
    <w:p w14:paraId="39557BB5">
      <w:pPr>
        <w:pStyle w:val="167"/>
      </w:pPr>
      <w:r>
        <w:rPr>
          <w:rFonts w:hint="eastAsia"/>
        </w:rPr>
        <w:t>山地工程应布置在典型地质灾害及隐患点、斜坡和小流域沟谷等区域。</w:t>
      </w:r>
    </w:p>
    <w:p w14:paraId="1F779929">
      <w:pPr>
        <w:pStyle w:val="167"/>
      </w:pPr>
      <w:r>
        <w:rPr>
          <w:rFonts w:hint="eastAsia"/>
        </w:rPr>
        <w:t>山地工程以浅井和探槽为主，应配合野外地面调查、地质剖面测量及样品采集进行。</w:t>
      </w:r>
    </w:p>
    <w:p w14:paraId="4A3B7B88">
      <w:pPr>
        <w:pStyle w:val="167"/>
      </w:pPr>
      <w:r>
        <w:rPr>
          <w:rFonts w:hint="eastAsia"/>
        </w:rPr>
        <w:t>探槽、浅井的深度应根据调查中需要解决的问题和施工安全具体确定，应尽可能揭露松散覆盖层厚度。</w:t>
      </w:r>
    </w:p>
    <w:p w14:paraId="66FEEEBD">
      <w:pPr>
        <w:pStyle w:val="167"/>
      </w:pPr>
      <w:r>
        <w:rPr>
          <w:rFonts w:hint="eastAsia"/>
        </w:rPr>
        <w:t>对探槽、浅井应进行详细编录，并制作大比例尺（1:100～1:20）展视图或剖面图，内容包括：地层岩性界线、岩土体类型及性质、结构、构造特征、水文地质与工程地质特征、取样位置等。</w:t>
      </w:r>
    </w:p>
    <w:p w14:paraId="5D19BCCC">
      <w:pPr>
        <w:pStyle w:val="167"/>
      </w:pPr>
      <w:r>
        <w:rPr>
          <w:rFonts w:hint="eastAsia"/>
        </w:rPr>
        <w:t>做好施工记录（支护、变形情况、地下水排水措施等）和取样登记等，并编制地质编录图表、施工小结、照片集等。</w:t>
      </w:r>
    </w:p>
    <w:p w14:paraId="53714436">
      <w:pPr>
        <w:pStyle w:val="167"/>
      </w:pPr>
      <w:r>
        <w:rPr>
          <w:rFonts w:hint="eastAsia"/>
        </w:rPr>
        <w:t>探槽、浅井等山地工程竣工后应及时回填并复绿，必要时进行保护与封闭。</w:t>
      </w:r>
    </w:p>
    <w:p w14:paraId="34BC27B8">
      <w:pPr>
        <w:pStyle w:val="107"/>
        <w:spacing w:before="156" w:after="156"/>
      </w:pPr>
      <w:bookmarkStart w:id="94" w:name="_Toc176194086"/>
      <w:bookmarkStart w:id="95" w:name="_Toc178172290"/>
      <w:r>
        <w:rPr>
          <w:rFonts w:hint="eastAsia"/>
        </w:rPr>
        <w:t>测试与试验</w:t>
      </w:r>
      <w:bookmarkEnd w:id="94"/>
      <w:bookmarkEnd w:id="95"/>
    </w:p>
    <w:p w14:paraId="5EBF0AE3">
      <w:pPr>
        <w:pStyle w:val="167"/>
      </w:pPr>
      <w:r>
        <w:rPr>
          <w:rFonts w:hint="eastAsia"/>
        </w:rPr>
        <w:t>测试与试验主要包括岩土体和水体样品测试、抽水试验。其中岩土体测试包括原位测试与室内试验，室内试验样品可利用钻孔、山地工程、人工边坡或天然露头采集。</w:t>
      </w:r>
    </w:p>
    <w:p w14:paraId="62118A1E">
      <w:pPr>
        <w:pStyle w:val="167"/>
      </w:pPr>
      <w:r>
        <w:rPr>
          <w:rFonts w:hint="eastAsia"/>
        </w:rPr>
        <w:t>采用原位测试获取岩土体物理力学参数时，可选择动力触探、孔内波速测试、现场直剪试验、大重度试验、岩石声波测试、点荷载试验、渗透试验等方法。</w:t>
      </w:r>
    </w:p>
    <w:p w14:paraId="55EC9111">
      <w:pPr>
        <w:pStyle w:val="167"/>
      </w:pPr>
      <w:r>
        <w:rPr>
          <w:rFonts w:hint="eastAsia"/>
        </w:rPr>
        <w:t>室内试验主要测试岩土体物质组成及物理力学性质等，岩土体测试项目及参数见附录D。</w:t>
      </w:r>
    </w:p>
    <w:p w14:paraId="6F860FCA">
      <w:pPr>
        <w:pStyle w:val="167"/>
      </w:pPr>
      <w:r>
        <w:rPr>
          <w:rFonts w:hint="eastAsia"/>
        </w:rPr>
        <w:t>抽水实验应采用单孔抽水、多孔抽水、群孔干扰抽水和试验性开采抽水等方法确定含水层及越流层的水文地质参数。</w:t>
      </w:r>
    </w:p>
    <w:p w14:paraId="0518B7B1">
      <w:pPr>
        <w:pStyle w:val="167"/>
      </w:pPr>
      <w:r>
        <w:rPr>
          <w:rFonts w:hint="eastAsia"/>
        </w:rPr>
        <w:t>测试与试验成果。应提交测试与试验成果报告，内容包括：样品采集时间、地点、层位、编号、测试项目和测试值等。</w:t>
      </w:r>
    </w:p>
    <w:p w14:paraId="03ADD21D">
      <w:pPr>
        <w:pStyle w:val="167"/>
      </w:pPr>
      <w:r>
        <w:rPr>
          <w:rFonts w:hint="eastAsia"/>
        </w:rPr>
        <w:t>岩土体原位测试和室内试验应按 GB/T 50123、GB/T 50266 的规定执行。</w:t>
      </w:r>
    </w:p>
    <w:p w14:paraId="07F7FF1F">
      <w:pPr>
        <w:pStyle w:val="106"/>
        <w:spacing w:before="312" w:after="312"/>
      </w:pPr>
      <w:bookmarkStart w:id="96" w:name="_Toc178172291"/>
      <w:bookmarkStart w:id="97" w:name="_Toc176194087"/>
      <w:r>
        <w:rPr>
          <w:rFonts w:hint="eastAsia"/>
        </w:rPr>
        <w:t>孕灾地质条件调查</w:t>
      </w:r>
      <w:bookmarkEnd w:id="96"/>
      <w:bookmarkEnd w:id="97"/>
    </w:p>
    <w:p w14:paraId="0508A560">
      <w:pPr>
        <w:pStyle w:val="107"/>
        <w:spacing w:before="156" w:after="156"/>
      </w:pPr>
      <w:bookmarkStart w:id="98" w:name="_Toc178172292"/>
      <w:bookmarkStart w:id="99" w:name="_Toc176194088"/>
      <w:r>
        <w:rPr>
          <w:rFonts w:hint="eastAsia"/>
        </w:rPr>
        <w:t>基本要求</w:t>
      </w:r>
      <w:bookmarkEnd w:id="98"/>
      <w:bookmarkEnd w:id="99"/>
    </w:p>
    <w:p w14:paraId="306A4107">
      <w:pPr>
        <w:pStyle w:val="167"/>
      </w:pPr>
      <w:r>
        <w:rPr>
          <w:rFonts w:hint="eastAsia"/>
        </w:rPr>
        <w:t>应对调查区孕灾地质环境条件进行调查，并做好沿途观察和描述。</w:t>
      </w:r>
    </w:p>
    <w:p w14:paraId="774D81E1">
      <w:pPr>
        <w:pStyle w:val="167"/>
      </w:pPr>
      <w:r>
        <w:rPr>
          <w:rFonts w:hint="eastAsia"/>
        </w:rPr>
        <w:t>应按调查精度要求布设孕灾地质条件调查点。包括：地形地貌、地层岩性、地质构造、岩（土）体工程地质、斜坡结构、地表水和地下水，以及人类工程活动等，野外记录内容格式见附录 C 表 C.2。</w:t>
      </w:r>
    </w:p>
    <w:p w14:paraId="737C9ADB">
      <w:pPr>
        <w:pStyle w:val="167"/>
      </w:pPr>
      <w:r>
        <w:rPr>
          <w:rFonts w:hint="eastAsia"/>
        </w:rPr>
        <w:t>应针对典型地形地貌、地层岩性、地质构造、第四系分布及成因类型、易崩易滑地层、软弱夹层、水文、地质环境问题等点位，应增布地质环境条件调查点，并按照附录 C 表 C.3填写记录。</w:t>
      </w:r>
    </w:p>
    <w:p w14:paraId="46DD6409">
      <w:pPr>
        <w:pStyle w:val="167"/>
      </w:pPr>
      <w:r>
        <w:rPr>
          <w:rFonts w:hint="eastAsia"/>
        </w:rPr>
        <w:t>宜现场圈定斜坡可能发生破坏的范围以及最大可能威胁范围，确定受威胁对象，预测损失程度。威胁范围圈定方法参见附录 J.5。沟谷泥石流影响范围确定参照 DZ/T 0220相关规定执行。</w:t>
      </w:r>
    </w:p>
    <w:p w14:paraId="49C86626">
      <w:pPr>
        <w:pStyle w:val="107"/>
        <w:spacing w:before="156" w:after="156"/>
      </w:pPr>
      <w:bookmarkStart w:id="100" w:name="_Toc176194089"/>
      <w:bookmarkStart w:id="101" w:name="_Toc178172293"/>
      <w:r>
        <w:rPr>
          <w:rFonts w:hint="eastAsia"/>
        </w:rPr>
        <w:t>地形地貌调查</w:t>
      </w:r>
      <w:bookmarkEnd w:id="100"/>
      <w:bookmarkEnd w:id="101"/>
    </w:p>
    <w:p w14:paraId="0A1AE24D">
      <w:pPr>
        <w:pStyle w:val="167"/>
      </w:pPr>
      <w:r>
        <w:rPr>
          <w:rFonts w:hint="eastAsia"/>
        </w:rPr>
        <w:t>应结合遥感影像及数字高程模型（DEM），确定工作区地貌单元的形态、成因及类型，划分微地貌、坡形、坡度及变化等。</w:t>
      </w:r>
    </w:p>
    <w:p w14:paraId="44684BE9">
      <w:pPr>
        <w:pStyle w:val="167"/>
      </w:pPr>
      <w:r>
        <w:rPr>
          <w:rFonts w:hint="eastAsia"/>
        </w:rPr>
        <w:t>应调查与滑坡、崩塌、泥石流、地面塌陷相关的地形地貌特征，分析不同地形地貌单元的孕灾规律，建立地质灾害地形地貌方面的早期识别标志。</w:t>
      </w:r>
    </w:p>
    <w:p w14:paraId="7034FC5D">
      <w:pPr>
        <w:pStyle w:val="167"/>
      </w:pPr>
      <w:r>
        <w:rPr>
          <w:rFonts w:hint="eastAsia"/>
        </w:rPr>
        <w:t>应调查与地面沉降、地裂缝相关的微地貌组合特征、构造地貌特征，灾害所处地貌单元的部位及其与地貌走向的关系等。</w:t>
      </w:r>
    </w:p>
    <w:p w14:paraId="4F7343F8">
      <w:pPr>
        <w:pStyle w:val="167"/>
      </w:pPr>
      <w:r>
        <w:rPr>
          <w:rFonts w:hint="eastAsia"/>
        </w:rPr>
        <w:t>应调查人工地形地貌形态、规模及其稳定性条件，包括：人工边坡、露天采场、采空区、山塘水库、弃渣等。</w:t>
      </w:r>
    </w:p>
    <w:p w14:paraId="3769B80A">
      <w:pPr>
        <w:pStyle w:val="107"/>
        <w:spacing w:before="156" w:after="156"/>
      </w:pPr>
      <w:bookmarkStart w:id="102" w:name="_Toc176194090"/>
      <w:bookmarkStart w:id="103" w:name="_Toc178172294"/>
      <w:r>
        <w:rPr>
          <w:rFonts w:hint="eastAsia"/>
        </w:rPr>
        <w:t>地质构造调查</w:t>
      </w:r>
      <w:bookmarkEnd w:id="102"/>
      <w:bookmarkEnd w:id="103"/>
    </w:p>
    <w:p w14:paraId="52555294">
      <w:pPr>
        <w:pStyle w:val="167"/>
      </w:pPr>
      <w:r>
        <w:rPr>
          <w:rFonts w:hint="eastAsia"/>
        </w:rPr>
        <w:t>应系统梳理区域地质资料，分析区域地质构造格架及构造应力应变场背景特征，结合高精度遥感数据，初步解译调查区内主要断裂、褶皱、大型节理、裂隙等，分析其对地质灾害的控制性作用。</w:t>
      </w:r>
    </w:p>
    <w:p w14:paraId="2E4DE9CF">
      <w:pPr>
        <w:pStyle w:val="167"/>
      </w:pPr>
      <w:r>
        <w:rPr>
          <w:rFonts w:hint="eastAsia"/>
        </w:rPr>
        <w:t>应加强地质构造、新构造运动与地震、地球物理等资料分析，调查评价区域性活动断裂的位置、规模、活动性、活动方式、强度等特征及其与地质灾害的关系，评估活动断裂引发地震滑坡的灾害效应。</w:t>
      </w:r>
    </w:p>
    <w:p w14:paraId="79A55023">
      <w:pPr>
        <w:pStyle w:val="167"/>
      </w:pPr>
      <w:r>
        <w:rPr>
          <w:rFonts w:hint="eastAsia"/>
        </w:rPr>
        <w:t>应选择断裂破碎带、断裂交汇带、褶皱转折端等对地质灾害控制性较强的构造部位开展成灾模式研究。</w:t>
      </w:r>
    </w:p>
    <w:p w14:paraId="69D72BBA">
      <w:pPr>
        <w:pStyle w:val="107"/>
        <w:spacing w:before="156" w:after="156"/>
      </w:pPr>
      <w:bookmarkStart w:id="104" w:name="_Toc176194091"/>
      <w:bookmarkStart w:id="105" w:name="_Toc178172295"/>
      <w:r>
        <w:rPr>
          <w:rFonts w:hint="eastAsia"/>
        </w:rPr>
        <w:t>岩土体工程地质调查</w:t>
      </w:r>
      <w:bookmarkEnd w:id="104"/>
      <w:bookmarkEnd w:id="105"/>
    </w:p>
    <w:p w14:paraId="7299DC3C">
      <w:pPr>
        <w:pStyle w:val="167"/>
      </w:pPr>
      <w:r>
        <w:rPr>
          <w:rFonts w:hint="eastAsia"/>
        </w:rPr>
        <w:t>区域地层以资料收集为主，山区工程地质岩组以调查为主，平原区根据搜集的钻孔等资料对调查区内工程地质进行测绘。</w:t>
      </w:r>
    </w:p>
    <w:p w14:paraId="13A2D1BA">
      <w:pPr>
        <w:pStyle w:val="167"/>
      </w:pPr>
      <w:r>
        <w:rPr>
          <w:rFonts w:hint="eastAsia"/>
        </w:rPr>
        <w:t>工程地质调查应包括以下内容：</w:t>
      </w:r>
    </w:p>
    <w:p w14:paraId="68547DA5">
      <w:pPr>
        <w:pStyle w:val="176"/>
        <w:numPr>
          <w:ilvl w:val="0"/>
          <w:numId w:val="37"/>
        </w:numPr>
      </w:pPr>
      <w:r>
        <w:rPr>
          <w:rFonts w:hint="eastAsia"/>
        </w:rPr>
        <w:t>岩土体的成因、类型、地质时代、岩性产状、埋藏分布和物理力学性质，土的类型与结构分类参见附录 E.1。根据岩土体分布和地层组合特征，进行工程地质结构分区、工程地质岩组划分，分析其与地质灾害的关系，岩组划分参见附录 F表F.1。</w:t>
      </w:r>
    </w:p>
    <w:p w14:paraId="0C65222C">
      <w:pPr>
        <w:pStyle w:val="176"/>
      </w:pPr>
      <w:r>
        <w:rPr>
          <w:rFonts w:hint="eastAsia"/>
        </w:rPr>
        <w:t>软土、膨胀土、吹填土等特殊性土及不良地质现象的分布和工程地质性质。</w:t>
      </w:r>
    </w:p>
    <w:p w14:paraId="1EDCB5CC">
      <w:pPr>
        <w:pStyle w:val="176"/>
      </w:pPr>
      <w:r>
        <w:rPr>
          <w:rFonts w:hint="eastAsia"/>
        </w:rPr>
        <w:t>岩体的结构面类型、产状、密度、延展性、张开度、粗糙度、充填物、交切关系、软弱夹层等特征；划分岩体结构类型，确定优势结构面，岩体结构类型划分参见附录 E.2。</w:t>
      </w:r>
    </w:p>
    <w:p w14:paraId="14371559">
      <w:pPr>
        <w:pStyle w:val="167"/>
      </w:pPr>
      <w:r>
        <w:rPr>
          <w:rFonts w:hint="eastAsia"/>
        </w:rPr>
        <w:t>应确定区域易崩易滑地层，或具有连续软弱结构面、易软化地层、层间剪切面的易致灾地层；圈定风化层、第四系松散层分布范围与厚度，岩石风化程度划分参见附录 F表F.2。</w:t>
      </w:r>
    </w:p>
    <w:p w14:paraId="01AC2DC2">
      <w:pPr>
        <w:pStyle w:val="167"/>
      </w:pPr>
      <w:r>
        <w:rPr>
          <w:rFonts w:hint="eastAsia"/>
        </w:rPr>
        <w:t>对于典型地段，应进行1:1000或以上精度的工程地质剖面调查与测量，实测具代表性的综合剖面。</w:t>
      </w:r>
    </w:p>
    <w:p w14:paraId="0041AF99">
      <w:pPr>
        <w:pStyle w:val="107"/>
        <w:spacing w:before="156" w:after="156"/>
      </w:pPr>
      <w:bookmarkStart w:id="106" w:name="_Toc178172296"/>
      <w:bookmarkStart w:id="107" w:name="_Toc176194092"/>
      <w:r>
        <w:rPr>
          <w:rFonts w:hint="eastAsia"/>
        </w:rPr>
        <w:t>斜坡结构调查</w:t>
      </w:r>
      <w:bookmarkEnd w:id="106"/>
      <w:bookmarkEnd w:id="107"/>
    </w:p>
    <w:p w14:paraId="51968505">
      <w:pPr>
        <w:pStyle w:val="167"/>
      </w:pPr>
      <w:r>
        <w:rPr>
          <w:rFonts w:hint="eastAsia"/>
        </w:rPr>
        <w:t>应以划定的斜坡单元开展调查工作，包含可能形成崩塌、滑坡的源区和影响区域。</w:t>
      </w:r>
    </w:p>
    <w:p w14:paraId="1679DEE5">
      <w:pPr>
        <w:pStyle w:val="167"/>
      </w:pPr>
      <w:r>
        <w:rPr>
          <w:rFonts w:hint="eastAsia"/>
        </w:rPr>
        <w:t>应调查斜坡形态特征、物质组成与结构特征，包括平、剖面形态、岩土组合、结构类型等，分析斜坡坡向与主要结构面的交切关系。</w:t>
      </w:r>
    </w:p>
    <w:p w14:paraId="5C68B501">
      <w:pPr>
        <w:pStyle w:val="167"/>
      </w:pPr>
      <w:r>
        <w:rPr>
          <w:rFonts w:hint="eastAsia"/>
        </w:rPr>
        <w:t>应调查各种构造结构面、原生结构面和风化缷荷结构面的产状、形态、规模、性质、密度及其相互的切割关系，分析各种结构面与边坡几何关系及其对边坡稳定性的影响。</w:t>
      </w:r>
    </w:p>
    <w:p w14:paraId="34B38A43">
      <w:pPr>
        <w:pStyle w:val="167"/>
      </w:pPr>
      <w:r>
        <w:rPr>
          <w:rFonts w:hint="eastAsia"/>
        </w:rPr>
        <w:t>应综合考虑地质环境特征及地质灾害发育内因和外因，确定斜坡结构类型，初步划分易产生地质灾害的斜坡区段。斜坡结构类型划分参见附录 H。</w:t>
      </w:r>
    </w:p>
    <w:p w14:paraId="4F8A46BB">
      <w:pPr>
        <w:pStyle w:val="107"/>
        <w:spacing w:before="156" w:after="156"/>
      </w:pPr>
      <w:bookmarkStart w:id="108" w:name="_Toc176194093"/>
      <w:bookmarkStart w:id="109" w:name="_Toc178172297"/>
      <w:r>
        <w:rPr>
          <w:rFonts w:hint="eastAsia"/>
        </w:rPr>
        <w:t>地表水与地下水调查</w:t>
      </w:r>
      <w:bookmarkEnd w:id="108"/>
      <w:bookmarkEnd w:id="109"/>
    </w:p>
    <w:p w14:paraId="0F711594">
      <w:pPr>
        <w:pStyle w:val="167"/>
      </w:pPr>
      <w:r>
        <w:rPr>
          <w:rFonts w:hint="eastAsia"/>
        </w:rPr>
        <w:t>以资料收集为主，平原区根据搜集的钻孔等资料对调查区内水文地质进行测绘。</w:t>
      </w:r>
    </w:p>
    <w:p w14:paraId="00558A0A">
      <w:pPr>
        <w:pStyle w:val="167"/>
      </w:pPr>
      <w:r>
        <w:rPr>
          <w:rFonts w:hint="eastAsia"/>
        </w:rPr>
        <w:t>调查内容包括：</w:t>
      </w:r>
    </w:p>
    <w:p w14:paraId="6C9D48BE">
      <w:pPr>
        <w:pStyle w:val="176"/>
        <w:numPr>
          <w:ilvl w:val="0"/>
          <w:numId w:val="38"/>
        </w:numPr>
      </w:pPr>
      <w:r>
        <w:rPr>
          <w:rFonts w:hint="eastAsia"/>
        </w:rPr>
        <w:t>地表水流量、最大流量、历史最高洪水位、水位波动幅度，地表水入渗条件、产流条件和流通情况，分析地表水对斜坡的侵蚀切割作用；</w:t>
      </w:r>
    </w:p>
    <w:p w14:paraId="68FC9A2F">
      <w:pPr>
        <w:pStyle w:val="176"/>
      </w:pPr>
      <w:r>
        <w:rPr>
          <w:rFonts w:hint="eastAsia"/>
        </w:rPr>
        <w:t>地下水含水层分布、类型、富水性、透水性、地下水位变化趋势，主要隔水层的岩性、厚度和分布；</w:t>
      </w:r>
    </w:p>
    <w:p w14:paraId="3DB3DA5C">
      <w:pPr>
        <w:pStyle w:val="176"/>
      </w:pPr>
      <w:r>
        <w:rPr>
          <w:rFonts w:hint="eastAsia"/>
        </w:rPr>
        <w:t>斜坡地带地下水类型、性质、水位及动态变化、流量、水化学特征，泉点、地下水溢出带、斜坡潮湿带等分布及动态情况；</w:t>
      </w:r>
    </w:p>
    <w:p w14:paraId="37CCDABB">
      <w:pPr>
        <w:pStyle w:val="176"/>
      </w:pPr>
      <w:r>
        <w:rPr>
          <w:rFonts w:hint="eastAsia"/>
        </w:rPr>
        <w:t>地下水开发利用情况，包括开采井及回灌井的分布、开采及回灌的层位与深度、抽水量和回灌量等；</w:t>
      </w:r>
    </w:p>
    <w:p w14:paraId="4B36B8AA">
      <w:pPr>
        <w:pStyle w:val="176"/>
      </w:pPr>
      <w:r>
        <w:rPr>
          <w:rFonts w:hint="eastAsia"/>
        </w:rPr>
        <w:t>分析斜坡地带地下水的流向、径流、补给和排泄条件，地下水与边坡稳定性的关系。</w:t>
      </w:r>
    </w:p>
    <w:p w14:paraId="4C836C0C">
      <w:pPr>
        <w:pStyle w:val="107"/>
        <w:spacing w:before="156" w:after="156"/>
      </w:pPr>
      <w:bookmarkStart w:id="110" w:name="_Toc178172298"/>
      <w:bookmarkStart w:id="111" w:name="_Toc176194094"/>
      <w:r>
        <w:rPr>
          <w:rFonts w:hint="eastAsia"/>
        </w:rPr>
        <w:t>气候、植被与土地利用状况调查</w:t>
      </w:r>
      <w:bookmarkEnd w:id="110"/>
      <w:bookmarkEnd w:id="111"/>
    </w:p>
    <w:p w14:paraId="56A646BA">
      <w:pPr>
        <w:pStyle w:val="167"/>
      </w:pPr>
      <w:r>
        <w:rPr>
          <w:rFonts w:hint="eastAsia"/>
        </w:rPr>
        <w:t>应收集调查区历史降雨记录资料、多年平均降雨量、各时段的降雨特征值，重大降雨事件（如台风暴雨、梅雨等）记录及 10 年一遇、20 年一遇、50 年一遇、100 一遇降雨资料等，分析引发地质灾害的降雨强度、前期降雨量和临界降雨量。</w:t>
      </w:r>
    </w:p>
    <w:p w14:paraId="1081DCFE">
      <w:pPr>
        <w:pStyle w:val="167"/>
      </w:pPr>
      <w:r>
        <w:rPr>
          <w:rFonts w:hint="eastAsia"/>
        </w:rPr>
        <w:t>应收集调查区国情地理普查数据、土地利用规划资料等，调查植被种类、分布、覆盖率，马刀树和醉汉林等斜坡变形指示植物，水田、鱼塘分布及渗水状况，分析主要土地利用类型及其与地质灾害的互馈作用。</w:t>
      </w:r>
    </w:p>
    <w:p w14:paraId="27A3380C">
      <w:pPr>
        <w:pStyle w:val="107"/>
        <w:spacing w:before="156" w:after="156"/>
      </w:pPr>
      <w:bookmarkStart w:id="112" w:name="_Toc178172299"/>
      <w:bookmarkStart w:id="113" w:name="_Toc176194095"/>
      <w:r>
        <w:rPr>
          <w:rFonts w:hint="eastAsia"/>
        </w:rPr>
        <w:t>人类工程活动调查</w:t>
      </w:r>
      <w:bookmarkEnd w:id="112"/>
      <w:bookmarkEnd w:id="113"/>
    </w:p>
    <w:p w14:paraId="2EE1EEFE">
      <w:pPr>
        <w:pStyle w:val="167"/>
      </w:pPr>
      <w:r>
        <w:rPr>
          <w:rFonts w:hint="eastAsia"/>
        </w:rPr>
        <w:t>以资料收集与现场调查相结合的方法开展。</w:t>
      </w:r>
    </w:p>
    <w:p w14:paraId="2C9A5027">
      <w:pPr>
        <w:pStyle w:val="167"/>
      </w:pPr>
      <w:r>
        <w:rPr>
          <w:rFonts w:hint="eastAsia"/>
        </w:rPr>
        <w:t>应梳理区域社会经济活动，包括区内社会经济发展、区域总体规划、建设交通发展规划等情况，分析经济发展规模、趋势及其与地质灾害的关系。</w:t>
      </w:r>
    </w:p>
    <w:p w14:paraId="3701C5C1">
      <w:pPr>
        <w:pStyle w:val="167"/>
      </w:pPr>
      <w:r>
        <w:rPr>
          <w:rFonts w:hint="eastAsia"/>
        </w:rPr>
        <w:t>应调查切坡、加载、开挖、填方、振动、灌溉、排污等人类工程活动对斜坡的扰动情况以及与诱发灾害情况的因果关系。</w:t>
      </w:r>
    </w:p>
    <w:p w14:paraId="5A0C51EE">
      <w:pPr>
        <w:pStyle w:val="167"/>
      </w:pPr>
      <w:r>
        <w:rPr>
          <w:rFonts w:hint="eastAsia"/>
        </w:rPr>
        <w:t>应调查矿山开采、水利水电工程建设、交通基础设施建设等对形成地质灾害的影响。</w:t>
      </w:r>
    </w:p>
    <w:p w14:paraId="25B008FB">
      <w:pPr>
        <w:pStyle w:val="167"/>
      </w:pPr>
      <w:r>
        <w:rPr>
          <w:rFonts w:hint="eastAsia"/>
        </w:rPr>
        <w:t>应调查抽采地下水、重大工程建设对地下水扰动等人类工程活动与地面沉降、地裂缝之间的关系。</w:t>
      </w:r>
    </w:p>
    <w:p w14:paraId="7D9CE055">
      <w:pPr>
        <w:pStyle w:val="167"/>
      </w:pPr>
      <w:r>
        <w:rPr>
          <w:rFonts w:hint="eastAsia"/>
        </w:rPr>
        <w:t>应调查地质灾害防治工程措施及其作用，包括地质灾害治理工程的类型、布局、修建年份、主要作用及其防治效果等，地面沉降、地裂缝的监测与防治设施建设和应用情况。</w:t>
      </w:r>
    </w:p>
    <w:p w14:paraId="259CB135">
      <w:pPr>
        <w:pStyle w:val="106"/>
        <w:spacing w:before="312" w:after="312"/>
      </w:pPr>
      <w:bookmarkStart w:id="114" w:name="_Toc176194096"/>
      <w:bookmarkStart w:id="115" w:name="_Toc178172300"/>
      <w:r>
        <w:rPr>
          <w:rFonts w:hint="eastAsia"/>
        </w:rPr>
        <w:t>地质灾害及隐患调查</w:t>
      </w:r>
      <w:bookmarkEnd w:id="114"/>
      <w:bookmarkEnd w:id="115"/>
    </w:p>
    <w:p w14:paraId="088F80BE">
      <w:pPr>
        <w:pStyle w:val="107"/>
        <w:spacing w:before="156" w:after="156"/>
      </w:pPr>
      <w:bookmarkStart w:id="116" w:name="_Toc178172301"/>
      <w:bookmarkStart w:id="117" w:name="_Toc176194097"/>
      <w:r>
        <w:rPr>
          <w:rFonts w:hint="eastAsia"/>
        </w:rPr>
        <w:t>基本要求</w:t>
      </w:r>
      <w:bookmarkEnd w:id="116"/>
      <w:bookmarkEnd w:id="117"/>
    </w:p>
    <w:p w14:paraId="156FE81E">
      <w:pPr>
        <w:pStyle w:val="167"/>
      </w:pPr>
      <w:r>
        <w:rPr>
          <w:rFonts w:hint="eastAsia"/>
        </w:rPr>
        <w:t>应调查所有历史及现状地质灾害及隐患，其中历史地质灾害隐患重点调查地质灾害防治工程措施及其作用。</w:t>
      </w:r>
    </w:p>
    <w:p w14:paraId="012890EF">
      <w:pPr>
        <w:pStyle w:val="167"/>
      </w:pPr>
      <w:r>
        <w:rPr>
          <w:rFonts w:hint="eastAsia"/>
        </w:rPr>
        <w:t>应采用遥感调查与地面调查相结合的方法进行；对于典型或重要地质灾害及隐患，应开展工程地质测绘、勘查及取样测试等工作。</w:t>
      </w:r>
    </w:p>
    <w:p w14:paraId="0C4CBFA0">
      <w:pPr>
        <w:pStyle w:val="167"/>
      </w:pPr>
      <w:r>
        <w:rPr>
          <w:rFonts w:hint="eastAsia"/>
        </w:rPr>
        <w:t>调查内容包括地质环境条件、地质灾害特征、造成的危害、成因分析、趋势预测、威胁情况及已采取的防治措施等。</w:t>
      </w:r>
    </w:p>
    <w:p w14:paraId="77600356">
      <w:pPr>
        <w:pStyle w:val="167"/>
      </w:pPr>
      <w:r>
        <w:rPr>
          <w:rFonts w:hint="eastAsia"/>
        </w:rPr>
        <w:t>应根据调查结果，现场判定地质灾害及隐患点的稳定性，分析并划定威胁范围，确定受威胁对象及可能造成的危害程度。对已实施专业监测的地质灾害及隐患，应根据监测数据校核稳定性判定结果。</w:t>
      </w:r>
    </w:p>
    <w:p w14:paraId="65C217FD">
      <w:pPr>
        <w:pStyle w:val="167"/>
      </w:pPr>
      <w:r>
        <w:rPr>
          <w:rFonts w:hint="eastAsia"/>
        </w:rPr>
        <w:t>应做好野外调查记录，做到一点一表。调查记录格式及相关调查内容参照附录 C 表 C.4-表 C.9 要求填写。</w:t>
      </w:r>
    </w:p>
    <w:p w14:paraId="5D98A274">
      <w:pPr>
        <w:pStyle w:val="107"/>
        <w:spacing w:before="156" w:after="156"/>
      </w:pPr>
      <w:bookmarkStart w:id="118" w:name="_Toc176194098"/>
      <w:bookmarkStart w:id="119" w:name="_Toc178172302"/>
      <w:r>
        <w:rPr>
          <w:rFonts w:hint="eastAsia"/>
        </w:rPr>
        <w:t>滑坡及隐患调查</w:t>
      </w:r>
      <w:bookmarkEnd w:id="118"/>
      <w:bookmarkEnd w:id="119"/>
    </w:p>
    <w:p w14:paraId="439D117C">
      <w:pPr>
        <w:pStyle w:val="67"/>
        <w:spacing w:before="156" w:after="156"/>
      </w:pPr>
      <w:bookmarkStart w:id="120" w:name="_Toc176194099"/>
      <w:bookmarkStart w:id="121" w:name="_Toc178172303"/>
      <w:r>
        <w:rPr>
          <w:rFonts w:hint="eastAsia"/>
        </w:rPr>
        <w:t>一般要求</w:t>
      </w:r>
      <w:bookmarkEnd w:id="120"/>
      <w:bookmarkEnd w:id="121"/>
    </w:p>
    <w:p w14:paraId="7BB4979D">
      <w:pPr>
        <w:pStyle w:val="166"/>
      </w:pPr>
      <w:r>
        <w:rPr>
          <w:rFonts w:hint="eastAsia"/>
        </w:rPr>
        <w:t>滑坡分类参照附录 H.1 执行。</w:t>
      </w:r>
    </w:p>
    <w:p w14:paraId="5A294C82">
      <w:pPr>
        <w:pStyle w:val="166"/>
      </w:pPr>
      <w:r>
        <w:rPr>
          <w:rFonts w:hint="eastAsia"/>
        </w:rPr>
        <w:t>滑坡稳定性划分为稳定、基本稳定、欠稳定和不稳定 4 级，分级标准参见附录 I 表J.12。</w:t>
      </w:r>
    </w:p>
    <w:p w14:paraId="7D68F568">
      <w:pPr>
        <w:pStyle w:val="166"/>
      </w:pPr>
      <w:r>
        <w:rPr>
          <w:rFonts w:hint="eastAsia"/>
        </w:rPr>
        <w:t>应根据调查分级和工作精度按调查、测绘和勘查 3 个层次开展。</w:t>
      </w:r>
    </w:p>
    <w:p w14:paraId="3E9BA359">
      <w:pPr>
        <w:pStyle w:val="166"/>
      </w:pPr>
      <w:r>
        <w:rPr>
          <w:rFonts w:hint="eastAsia"/>
        </w:rPr>
        <w:t>应实测滑坡代表性剖面，并进行拍照、录像或绘制素描图。</w:t>
      </w:r>
    </w:p>
    <w:p w14:paraId="73D65DE1">
      <w:pPr>
        <w:pStyle w:val="67"/>
        <w:spacing w:before="156" w:after="156"/>
      </w:pPr>
      <w:bookmarkStart w:id="122" w:name="_Toc176194100"/>
      <w:bookmarkStart w:id="123" w:name="_Toc178172304"/>
      <w:r>
        <w:rPr>
          <w:rFonts w:hint="eastAsia"/>
        </w:rPr>
        <w:t>调查</w:t>
      </w:r>
      <w:bookmarkEnd w:id="122"/>
      <w:bookmarkEnd w:id="123"/>
    </w:p>
    <w:p w14:paraId="01DC64B2">
      <w:pPr>
        <w:pStyle w:val="166"/>
      </w:pPr>
      <w:r>
        <w:rPr>
          <w:rFonts w:hint="eastAsia"/>
        </w:rPr>
        <w:t>采用以实地测量为主的方法开展调查。</w:t>
      </w:r>
    </w:p>
    <w:p w14:paraId="7F0FC020">
      <w:pPr>
        <w:pStyle w:val="166"/>
      </w:pPr>
      <w:r>
        <w:rPr>
          <w:rFonts w:hint="eastAsia"/>
        </w:rPr>
        <w:t>应调查滑坡形成的地质条件、滑坡体特征、诱发因素、活动历史和防治情况。</w:t>
      </w:r>
    </w:p>
    <w:p w14:paraId="1A4A8610">
      <w:pPr>
        <w:pStyle w:val="166"/>
      </w:pPr>
      <w:r>
        <w:rPr>
          <w:rFonts w:hint="eastAsia"/>
        </w:rPr>
        <w:t>分析滑坡形成机理和成灾模式，圈定滑坡周界以及最大可能威胁范围，确定受威胁对象，预测损失程度。威胁范围圈定方法参见附录 I.5。</w:t>
      </w:r>
    </w:p>
    <w:p w14:paraId="3805D6B9">
      <w:pPr>
        <w:pStyle w:val="67"/>
        <w:spacing w:before="156" w:after="156"/>
      </w:pPr>
      <w:bookmarkStart w:id="124" w:name="_Toc176194101"/>
      <w:bookmarkStart w:id="125" w:name="_Toc178172305"/>
      <w:r>
        <w:rPr>
          <w:rFonts w:hint="eastAsia"/>
        </w:rPr>
        <w:t>测绘</w:t>
      </w:r>
      <w:bookmarkEnd w:id="124"/>
      <w:bookmarkEnd w:id="125"/>
    </w:p>
    <w:p w14:paraId="530B58EA">
      <w:pPr>
        <w:pStyle w:val="166"/>
      </w:pPr>
      <w:r>
        <w:rPr>
          <w:rFonts w:hint="eastAsia"/>
        </w:rPr>
        <w:t>应采用无人机测量、地形测量、剖面测绘等相结合的方法进行。</w:t>
      </w:r>
    </w:p>
    <w:p w14:paraId="755EDD73">
      <w:pPr>
        <w:pStyle w:val="166"/>
      </w:pPr>
      <w:r>
        <w:rPr>
          <w:rFonts w:hint="eastAsia"/>
        </w:rPr>
        <w:t>测绘精度应符合下列要求：</w:t>
      </w:r>
    </w:p>
    <w:p w14:paraId="536279D1">
      <w:pPr>
        <w:pStyle w:val="176"/>
        <w:numPr>
          <w:ilvl w:val="0"/>
          <w:numId w:val="39"/>
        </w:numPr>
      </w:pPr>
      <w:r>
        <w:rPr>
          <w:rFonts w:hint="eastAsia"/>
        </w:rPr>
        <w:t>滑坡区平面图测绘比例尺宜在 1:1000～1:500 之间。</w:t>
      </w:r>
    </w:p>
    <w:p w14:paraId="03E81647">
      <w:pPr>
        <w:pStyle w:val="176"/>
      </w:pPr>
      <w:r>
        <w:rPr>
          <w:rFonts w:hint="eastAsia"/>
        </w:rPr>
        <w:t>滑坡区剖面图测绘比例尺宜在 1:500～1:100 之间。</w:t>
      </w:r>
    </w:p>
    <w:p w14:paraId="79AB62FA">
      <w:pPr>
        <w:pStyle w:val="166"/>
      </w:pPr>
      <w:r>
        <w:rPr>
          <w:rFonts w:hint="eastAsia"/>
        </w:rPr>
        <w:t>测绘范围应包括后缘壁至前缘剪出口及两侧缘壁之间的整个滑坡，并外延到滑坡可能影响的一定范围。</w:t>
      </w:r>
    </w:p>
    <w:p w14:paraId="3F011212">
      <w:pPr>
        <w:pStyle w:val="166"/>
      </w:pPr>
      <w:r>
        <w:rPr>
          <w:rFonts w:hint="eastAsia"/>
        </w:rPr>
        <w:t>应详细标记滑坡范围、形态特征、变形迹象、威胁范围以及承灾体信息等要素。</w:t>
      </w:r>
    </w:p>
    <w:p w14:paraId="271F231E">
      <w:pPr>
        <w:pStyle w:val="67"/>
        <w:spacing w:before="156" w:after="156"/>
      </w:pPr>
      <w:bookmarkStart w:id="126" w:name="_Toc178172306"/>
      <w:bookmarkStart w:id="127" w:name="_Toc176194102"/>
      <w:r>
        <w:rPr>
          <w:rFonts w:hint="eastAsia"/>
        </w:rPr>
        <w:t>勘查</w:t>
      </w:r>
      <w:bookmarkEnd w:id="126"/>
      <w:bookmarkEnd w:id="127"/>
    </w:p>
    <w:p w14:paraId="709302EC">
      <w:pPr>
        <w:pStyle w:val="166"/>
      </w:pPr>
      <w:r>
        <w:rPr>
          <w:rFonts w:hint="eastAsia"/>
        </w:rPr>
        <w:t>勘查方法应以钻探为主，并辅以物探、井探和槽探等验证与控制。</w:t>
      </w:r>
    </w:p>
    <w:p w14:paraId="52E40D72">
      <w:pPr>
        <w:pStyle w:val="166"/>
      </w:pPr>
      <w:r>
        <w:rPr>
          <w:rFonts w:hint="eastAsia"/>
        </w:rPr>
        <w:t>工程布置可采用主-辅剖面法。沿主滑方向布置有钻探、井探与物探点构成的主勘查线，在其两侧可布置 1～3 条由物探、井探、槽探点构成的辅助勘查线。</w:t>
      </w:r>
    </w:p>
    <w:p w14:paraId="11E4B60B">
      <w:pPr>
        <w:pStyle w:val="166"/>
      </w:pPr>
      <w:r>
        <w:rPr>
          <w:rFonts w:hint="eastAsia"/>
        </w:rPr>
        <w:t>应查明滑坡体结构及各层滑坡面（带）位置，了解地下水特征，采取滑体与滑带岩土试样，测试物理、水理与力学性质指标。</w:t>
      </w:r>
    </w:p>
    <w:p w14:paraId="0E287F7E">
      <w:pPr>
        <w:pStyle w:val="166"/>
      </w:pPr>
      <w:r>
        <w:rPr>
          <w:rFonts w:hint="eastAsia"/>
        </w:rPr>
        <w:t>应根据滑坡位置、规模、影响因素、滑坡前兆、滑坡区的工程地质和水文地质条件进行滑坡稳定性综合评价，并应分析发展趋势和危害程度。</w:t>
      </w:r>
    </w:p>
    <w:p w14:paraId="7B86F5B7">
      <w:pPr>
        <w:pStyle w:val="167"/>
      </w:pPr>
      <w:r>
        <w:rPr>
          <w:rFonts w:hint="eastAsia"/>
        </w:rPr>
        <w:t>其他要求参照 DZ/T 0261 相关规定执行。</w:t>
      </w:r>
    </w:p>
    <w:p w14:paraId="4D673493">
      <w:pPr>
        <w:pStyle w:val="107"/>
        <w:spacing w:before="156" w:after="156"/>
      </w:pPr>
      <w:bookmarkStart w:id="128" w:name="_Toc176194103"/>
      <w:bookmarkStart w:id="129" w:name="_Toc178172307"/>
      <w:r>
        <w:rPr>
          <w:rFonts w:hint="eastAsia"/>
        </w:rPr>
        <w:t>崩塌及隐患调查</w:t>
      </w:r>
      <w:bookmarkEnd w:id="128"/>
      <w:bookmarkEnd w:id="129"/>
    </w:p>
    <w:p w14:paraId="01479876">
      <w:pPr>
        <w:pStyle w:val="67"/>
        <w:spacing w:before="156" w:after="156"/>
      </w:pPr>
      <w:bookmarkStart w:id="130" w:name="_Toc176194104"/>
      <w:bookmarkStart w:id="131" w:name="_Toc178172308"/>
      <w:r>
        <w:rPr>
          <w:rFonts w:hint="eastAsia"/>
        </w:rPr>
        <w:t>一般要求</w:t>
      </w:r>
      <w:bookmarkEnd w:id="130"/>
      <w:bookmarkEnd w:id="131"/>
    </w:p>
    <w:p w14:paraId="63E0FCA8">
      <w:pPr>
        <w:pStyle w:val="166"/>
      </w:pPr>
      <w:r>
        <w:rPr>
          <w:rFonts w:hint="eastAsia"/>
        </w:rPr>
        <w:t>崩塌分类参照附录 H.2执行。</w:t>
      </w:r>
    </w:p>
    <w:p w14:paraId="4949B69C">
      <w:pPr>
        <w:pStyle w:val="166"/>
      </w:pPr>
      <w:r>
        <w:rPr>
          <w:rFonts w:hint="eastAsia"/>
        </w:rPr>
        <w:t>崩塌稳定性划分为稳定、基本稳定、欠稳定和不稳定 4 级，分级标准参见附录I表I.12。</w:t>
      </w:r>
    </w:p>
    <w:p w14:paraId="2BEF68FF">
      <w:pPr>
        <w:pStyle w:val="166"/>
      </w:pPr>
      <w:r>
        <w:rPr>
          <w:rFonts w:hint="eastAsia"/>
        </w:rPr>
        <w:t>应根据调查分级和工作精度按调查、测绘 2 个层次开展。</w:t>
      </w:r>
    </w:p>
    <w:p w14:paraId="22CA17B1">
      <w:pPr>
        <w:pStyle w:val="166"/>
      </w:pPr>
      <w:r>
        <w:rPr>
          <w:rFonts w:hint="eastAsia"/>
        </w:rPr>
        <w:t>应实测崩塌代表性剖面，并进行拍照、录像或绘制素描图。</w:t>
      </w:r>
    </w:p>
    <w:p w14:paraId="4D209E20">
      <w:pPr>
        <w:pStyle w:val="67"/>
        <w:spacing w:before="156" w:after="156"/>
      </w:pPr>
      <w:bookmarkStart w:id="132" w:name="_Toc178172309"/>
      <w:bookmarkStart w:id="133" w:name="_Toc176194105"/>
      <w:r>
        <w:rPr>
          <w:rFonts w:hint="eastAsia"/>
        </w:rPr>
        <w:t>调查</w:t>
      </w:r>
      <w:bookmarkEnd w:id="132"/>
      <w:bookmarkEnd w:id="133"/>
    </w:p>
    <w:p w14:paraId="79E6B8FC">
      <w:pPr>
        <w:pStyle w:val="166"/>
      </w:pPr>
      <w:r>
        <w:rPr>
          <w:rFonts w:hint="eastAsia"/>
        </w:rPr>
        <w:t>崩塌灾害野外调查应采用以实地测量为主的方法。</w:t>
      </w:r>
    </w:p>
    <w:p w14:paraId="23539396">
      <w:pPr>
        <w:pStyle w:val="166"/>
      </w:pPr>
      <w:r>
        <w:rPr>
          <w:rFonts w:hint="eastAsia"/>
        </w:rPr>
        <w:t>调查内容包括危岩体调查、崩塌堆积体调查和承灾体调查等。</w:t>
      </w:r>
    </w:p>
    <w:p w14:paraId="585194AB">
      <w:pPr>
        <w:pStyle w:val="166"/>
      </w:pPr>
      <w:r>
        <w:rPr>
          <w:rFonts w:hint="eastAsia"/>
        </w:rPr>
        <w:t>应调查崩塌主控因素、诱发因素、形成机理、成灾模式、致灾范围等。</w:t>
      </w:r>
    </w:p>
    <w:p w14:paraId="27DD0071">
      <w:pPr>
        <w:pStyle w:val="166"/>
      </w:pPr>
      <w:r>
        <w:rPr>
          <w:rFonts w:hint="eastAsia"/>
        </w:rPr>
        <w:t>应调查崩塌及崩塌堆积体造成的灾害损失，分析预测危岩体、崩塌堆积体失稳可能造成灾害的影响范围，圈定最大可能威胁范围，确定受威胁对象，预测损失程度。威胁范围圈定方法参照附录 J.5。</w:t>
      </w:r>
    </w:p>
    <w:p w14:paraId="7AEF81A1">
      <w:pPr>
        <w:pStyle w:val="67"/>
        <w:spacing w:before="156" w:after="156"/>
      </w:pPr>
      <w:bookmarkStart w:id="134" w:name="_Toc176194106"/>
      <w:bookmarkStart w:id="135" w:name="_Toc178172310"/>
      <w:r>
        <w:rPr>
          <w:rFonts w:hint="eastAsia"/>
        </w:rPr>
        <w:t>测绘</w:t>
      </w:r>
      <w:bookmarkEnd w:id="134"/>
      <w:bookmarkEnd w:id="135"/>
    </w:p>
    <w:p w14:paraId="53F3F714">
      <w:pPr>
        <w:pStyle w:val="166"/>
      </w:pPr>
      <w:r>
        <w:rPr>
          <w:rFonts w:hint="eastAsia"/>
        </w:rPr>
        <w:t>威胁县城、集镇和重要公共基础设施且稳定性较差的崩塌，应进行大比例尺工程地质测绘。</w:t>
      </w:r>
    </w:p>
    <w:p w14:paraId="515A984D">
      <w:pPr>
        <w:pStyle w:val="166"/>
      </w:pPr>
      <w:r>
        <w:rPr>
          <w:rFonts w:hint="eastAsia"/>
        </w:rPr>
        <w:t>崩塌及隐患测绘应包括崩塌区地形测绘和地质测绘，测绘精度应符合下列要求：</w:t>
      </w:r>
    </w:p>
    <w:p w14:paraId="1B919A3E">
      <w:pPr>
        <w:pStyle w:val="166"/>
      </w:pPr>
      <w:r>
        <w:rPr>
          <w:rFonts w:hint="eastAsia"/>
        </w:rPr>
        <w:t>a)测绘平面图比例尺宜在 1:1000～1:500 之间。</w:t>
      </w:r>
    </w:p>
    <w:p w14:paraId="3BD6EEF3">
      <w:pPr>
        <w:pStyle w:val="166"/>
      </w:pPr>
      <w:r>
        <w:rPr>
          <w:rFonts w:hint="eastAsia"/>
        </w:rPr>
        <w:t>b)测绘剖面图比例尺宜在 1:500～1:100 之间。对主要裂缝应专门进行更大比例尺测绘和绘制素描图。</w:t>
      </w:r>
    </w:p>
    <w:p w14:paraId="63855CA7">
      <w:pPr>
        <w:pStyle w:val="167"/>
      </w:pPr>
      <w:r>
        <w:rPr>
          <w:rFonts w:hint="eastAsia"/>
        </w:rPr>
        <w:t>其他要求参照 DZ/T 0261 相关规定执行。</w:t>
      </w:r>
    </w:p>
    <w:p w14:paraId="3BF7981F">
      <w:pPr>
        <w:pStyle w:val="107"/>
        <w:spacing w:before="156" w:after="156"/>
      </w:pPr>
      <w:bookmarkStart w:id="136" w:name="_Toc176194107"/>
      <w:bookmarkStart w:id="137" w:name="_Toc178172311"/>
      <w:r>
        <w:rPr>
          <w:rFonts w:hint="eastAsia"/>
        </w:rPr>
        <w:t>泥石流及隐患调查</w:t>
      </w:r>
      <w:bookmarkEnd w:id="136"/>
      <w:bookmarkEnd w:id="137"/>
    </w:p>
    <w:p w14:paraId="0B14E35A">
      <w:pPr>
        <w:pStyle w:val="67"/>
        <w:spacing w:before="156" w:after="156"/>
      </w:pPr>
      <w:bookmarkStart w:id="138" w:name="_Toc176194108"/>
      <w:bookmarkStart w:id="139" w:name="_Toc178172312"/>
      <w:r>
        <w:rPr>
          <w:rFonts w:hint="eastAsia"/>
        </w:rPr>
        <w:t>一般要求</w:t>
      </w:r>
      <w:bookmarkEnd w:id="138"/>
      <w:bookmarkEnd w:id="139"/>
    </w:p>
    <w:p w14:paraId="65949743">
      <w:pPr>
        <w:pStyle w:val="166"/>
      </w:pPr>
      <w:r>
        <w:rPr>
          <w:rFonts w:hint="eastAsia"/>
        </w:rPr>
        <w:t>泥石流分类参照附录 H.3 执行。</w:t>
      </w:r>
    </w:p>
    <w:p w14:paraId="107BBFDB">
      <w:pPr>
        <w:pStyle w:val="166"/>
      </w:pPr>
      <w:r>
        <w:rPr>
          <w:rFonts w:hint="eastAsia"/>
        </w:rPr>
        <w:t>泥石流易发程度划分为不易发、低易发、中易发和高易发4级，分级标准参见附录I表I.2。</w:t>
      </w:r>
    </w:p>
    <w:p w14:paraId="767BF837">
      <w:pPr>
        <w:pStyle w:val="166"/>
      </w:pPr>
      <w:r>
        <w:rPr>
          <w:rFonts w:hint="eastAsia"/>
        </w:rPr>
        <w:t>泥石流及隐患调查应根据调查分级和工作精度按调查和测绘 2 个层次开展。</w:t>
      </w:r>
    </w:p>
    <w:p w14:paraId="049469EF">
      <w:pPr>
        <w:pStyle w:val="166"/>
      </w:pPr>
      <w:r>
        <w:rPr>
          <w:rFonts w:hint="eastAsia"/>
        </w:rPr>
        <w:t>泥石流调查应以沿沟向上追索的方法为主，实测沟谷剖面，并进行拍照、录像或绘制素描图。</w:t>
      </w:r>
    </w:p>
    <w:p w14:paraId="7765C3CD">
      <w:pPr>
        <w:pStyle w:val="67"/>
        <w:spacing w:before="156" w:after="156"/>
      </w:pPr>
      <w:bookmarkStart w:id="140" w:name="_Toc176194109"/>
      <w:bookmarkStart w:id="141" w:name="_Toc178172313"/>
      <w:r>
        <w:rPr>
          <w:rFonts w:hint="eastAsia"/>
        </w:rPr>
        <w:t>调查</w:t>
      </w:r>
      <w:bookmarkEnd w:id="140"/>
      <w:bookmarkEnd w:id="141"/>
    </w:p>
    <w:p w14:paraId="42247728">
      <w:pPr>
        <w:pStyle w:val="166"/>
      </w:pPr>
      <w:r>
        <w:rPr>
          <w:rFonts w:hint="eastAsia"/>
        </w:rPr>
        <w:t>应采用遥感调查与实地量测相结合的方法调查。</w:t>
      </w:r>
    </w:p>
    <w:p w14:paraId="0BFC23A2">
      <w:pPr>
        <w:pStyle w:val="166"/>
      </w:pPr>
      <w:r>
        <w:rPr>
          <w:rFonts w:hint="eastAsia"/>
        </w:rPr>
        <w:t>调查范围应包括形成区、流通区和堆积区。</w:t>
      </w:r>
    </w:p>
    <w:p w14:paraId="3CEDDC3C">
      <w:pPr>
        <w:pStyle w:val="166"/>
      </w:pPr>
      <w:r>
        <w:rPr>
          <w:rFonts w:hint="eastAsia"/>
        </w:rPr>
        <w:t>应调查泥石流的形成条件、动力条件和堆积条件，以及泥石流的诱发因素、了解泥石流危害或成灾情况，分析评价泥石流的易发性、危险性和危害程度。根据现场调查，初步圈定泥石流发生后的最大可能威胁范围。</w:t>
      </w:r>
    </w:p>
    <w:p w14:paraId="0B9B0381">
      <w:pPr>
        <w:pStyle w:val="67"/>
        <w:spacing w:before="156" w:after="156"/>
      </w:pPr>
      <w:bookmarkStart w:id="142" w:name="_Toc178172314"/>
      <w:bookmarkStart w:id="143" w:name="_Toc176194110"/>
      <w:r>
        <w:rPr>
          <w:rFonts w:hint="eastAsia"/>
        </w:rPr>
        <w:t>测绘</w:t>
      </w:r>
      <w:bookmarkEnd w:id="142"/>
      <w:bookmarkEnd w:id="143"/>
    </w:p>
    <w:p w14:paraId="115D2B3E">
      <w:pPr>
        <w:pStyle w:val="166"/>
      </w:pPr>
      <w:r>
        <w:rPr>
          <w:rFonts w:hint="eastAsia"/>
        </w:rPr>
        <w:t>测绘应采用无人机调查、地形测量、剖面测制等相结合的方法进行。</w:t>
      </w:r>
    </w:p>
    <w:p w14:paraId="3E50B294">
      <w:pPr>
        <w:pStyle w:val="166"/>
      </w:pPr>
      <w:r>
        <w:rPr>
          <w:rFonts w:hint="eastAsia"/>
        </w:rPr>
        <w:t>测绘范围应包括全流域和可能受泥石流影响的地段。</w:t>
      </w:r>
    </w:p>
    <w:p w14:paraId="38DFB56D">
      <w:pPr>
        <w:pStyle w:val="166"/>
      </w:pPr>
      <w:r>
        <w:rPr>
          <w:rFonts w:hint="eastAsia"/>
        </w:rPr>
        <w:t>测绘精度应符合下列要求：</w:t>
      </w:r>
    </w:p>
    <w:p w14:paraId="793FF262">
      <w:pPr>
        <w:pStyle w:val="176"/>
        <w:numPr>
          <w:ilvl w:val="0"/>
          <w:numId w:val="40"/>
        </w:numPr>
      </w:pPr>
      <w:r>
        <w:rPr>
          <w:rFonts w:hint="eastAsia"/>
        </w:rPr>
        <w:t>全流域测绘，比例尺宜采用 1:10 000～1:2000。</w:t>
      </w:r>
    </w:p>
    <w:p w14:paraId="25428700">
      <w:pPr>
        <w:pStyle w:val="176"/>
      </w:pPr>
      <w:r>
        <w:rPr>
          <w:rFonts w:hint="eastAsia"/>
        </w:rPr>
        <w:t>物源区、流通区测绘，比例尺宜采用 1:1000～1:500。</w:t>
      </w:r>
    </w:p>
    <w:p w14:paraId="0441C5F9">
      <w:pPr>
        <w:pStyle w:val="176"/>
      </w:pPr>
      <w:r>
        <w:rPr>
          <w:rFonts w:hint="eastAsia"/>
        </w:rPr>
        <w:t>堆积区测绘，比例尺宜采用 1:500～1:250。</w:t>
      </w:r>
    </w:p>
    <w:p w14:paraId="6FD107A0">
      <w:pPr>
        <w:pStyle w:val="167"/>
      </w:pPr>
      <w:r>
        <w:rPr>
          <w:rFonts w:hint="eastAsia"/>
        </w:rPr>
        <w:t>其他要求参照 DZ/T 0261 相关规定执行。</w:t>
      </w:r>
    </w:p>
    <w:p w14:paraId="1318FE1B">
      <w:pPr>
        <w:pStyle w:val="107"/>
        <w:spacing w:before="156" w:after="156"/>
      </w:pPr>
      <w:bookmarkStart w:id="144" w:name="_Toc176194111"/>
      <w:bookmarkStart w:id="145" w:name="_Toc178172315"/>
      <w:r>
        <w:rPr>
          <w:rFonts w:hint="eastAsia"/>
        </w:rPr>
        <w:t>地面塌陷调查</w:t>
      </w:r>
      <w:bookmarkEnd w:id="144"/>
      <w:bookmarkEnd w:id="145"/>
    </w:p>
    <w:p w14:paraId="1CB66559">
      <w:pPr>
        <w:pStyle w:val="67"/>
        <w:spacing w:before="156" w:after="156"/>
      </w:pPr>
      <w:bookmarkStart w:id="146" w:name="_Toc176194112"/>
      <w:bookmarkStart w:id="147" w:name="_Toc178172316"/>
      <w:r>
        <w:rPr>
          <w:rFonts w:hint="eastAsia"/>
        </w:rPr>
        <w:t>一般要求</w:t>
      </w:r>
      <w:bookmarkEnd w:id="146"/>
      <w:bookmarkEnd w:id="147"/>
    </w:p>
    <w:p w14:paraId="50366636">
      <w:pPr>
        <w:pStyle w:val="166"/>
      </w:pPr>
      <w:r>
        <w:rPr>
          <w:rFonts w:hint="eastAsia"/>
        </w:rPr>
        <w:t>地面塌陷分类参照附录 1.4 执行。</w:t>
      </w:r>
    </w:p>
    <w:p w14:paraId="51FBF6EA">
      <w:pPr>
        <w:pStyle w:val="166"/>
      </w:pPr>
      <w:r>
        <w:rPr>
          <w:rFonts w:hint="eastAsia"/>
        </w:rPr>
        <w:t>地面塌陷调查，包括岩溶塌陷和采空塌陷调查。</w:t>
      </w:r>
    </w:p>
    <w:p w14:paraId="4A3C4BEB">
      <w:pPr>
        <w:pStyle w:val="166"/>
      </w:pPr>
      <w:r>
        <w:rPr>
          <w:rFonts w:hint="eastAsia"/>
        </w:rPr>
        <w:t>岩溶塌陷调查主要包括岩溶塌陷的基本特征、危害与防治情况、区域地质与水文地质条件、覆盖层工程地质条件、诱发因素等。采用定性为主、定量为辅的方法分析评价岩溶塌陷区的稳定性、易发性和危险性以及可能的危害程度。</w:t>
      </w:r>
    </w:p>
    <w:p w14:paraId="06395935">
      <w:pPr>
        <w:pStyle w:val="166"/>
      </w:pPr>
      <w:r>
        <w:rPr>
          <w:rFonts w:hint="eastAsia"/>
        </w:rPr>
        <w:t>采空塌陷调查主要包括区域地质环境条件、地表工程环境条件、采矿条件、采矿塌陷覆岩结构特征、采空塌陷冒落状况，分析岩层移动变形特征，计算采空塌陷地表剩余变形量、稳定性系数，预测评价采空塌陷区稳定性及未来发展趋势。</w:t>
      </w:r>
    </w:p>
    <w:p w14:paraId="3B7831F8">
      <w:pPr>
        <w:pStyle w:val="166"/>
      </w:pPr>
      <w:r>
        <w:rPr>
          <w:rFonts w:hint="eastAsia"/>
        </w:rPr>
        <w:t>地面塌陷调查应根据调查分级和工作精度按调查、测绘和勘查3个层次开展。</w:t>
      </w:r>
    </w:p>
    <w:p w14:paraId="6B08B03C">
      <w:pPr>
        <w:pStyle w:val="67"/>
        <w:spacing w:before="156" w:after="156"/>
      </w:pPr>
      <w:bookmarkStart w:id="148" w:name="_Toc178172317"/>
      <w:bookmarkStart w:id="149" w:name="_Toc176194113"/>
      <w:r>
        <w:rPr>
          <w:rFonts w:hint="eastAsia"/>
        </w:rPr>
        <w:t>调查</w:t>
      </w:r>
      <w:bookmarkEnd w:id="148"/>
      <w:bookmarkEnd w:id="149"/>
    </w:p>
    <w:p w14:paraId="318C2F8F">
      <w:pPr>
        <w:pStyle w:val="166"/>
      </w:pPr>
      <w:r>
        <w:rPr>
          <w:rFonts w:hint="eastAsia"/>
        </w:rPr>
        <w:t>应调查地面塌陷发生的时间、地点、规模、形态特征、影响范围、危害对象、致灾程度、处置情况、地面形变监测等；应分析地面塌陷易发性、危险性和危害性。</w:t>
      </w:r>
    </w:p>
    <w:p w14:paraId="6A0951CB">
      <w:pPr>
        <w:pStyle w:val="166"/>
      </w:pPr>
      <w:r>
        <w:rPr>
          <w:rFonts w:hint="eastAsia"/>
        </w:rPr>
        <w:t>在岩溶区，应调查岩溶塌陷区地层岩性、岩体结构、岩溶发育特征、岩溶堆积物成因类型、成分与结构等；应调查岩溶含水层组特征、含水介质类型、富水性、埋藏和分布状况等；应调查地下水开采井井深、结构、开采量、开采层位、水位变化等。</w:t>
      </w:r>
    </w:p>
    <w:p w14:paraId="0293D894">
      <w:pPr>
        <w:pStyle w:val="166"/>
      </w:pPr>
      <w:r>
        <w:rPr>
          <w:rFonts w:hint="eastAsia"/>
        </w:rPr>
        <w:t>在采空区，应在历史开采资料、监测资料、闭坑报告收集基础上，调查核实开拓系统、采空区分布；调查采空塌陷区地层岩性、地质构造、岩体结构、水文地质条件、软弱层等；调查地下开拓开采工程规模、开采方式、开采规划、地下水疏干情况和降落漏斗分布特征等。</w:t>
      </w:r>
    </w:p>
    <w:p w14:paraId="40D1A59B">
      <w:pPr>
        <w:pStyle w:val="166"/>
      </w:pPr>
      <w:r>
        <w:rPr>
          <w:rFonts w:hint="eastAsia"/>
        </w:rPr>
        <w:t>采空塌陷调查其他要求参照 GB/T 40112 相关规定执行，岩溶塌陷调查其他要求参照DZ/T 0447相关规定执行。</w:t>
      </w:r>
    </w:p>
    <w:p w14:paraId="092BB459">
      <w:pPr>
        <w:pStyle w:val="67"/>
        <w:spacing w:before="156" w:after="156"/>
      </w:pPr>
      <w:bookmarkStart w:id="150" w:name="_Toc176194114"/>
      <w:bookmarkStart w:id="151" w:name="_Toc178172318"/>
      <w:r>
        <w:rPr>
          <w:rFonts w:hint="eastAsia"/>
        </w:rPr>
        <w:t>测绘</w:t>
      </w:r>
      <w:bookmarkEnd w:id="150"/>
      <w:bookmarkEnd w:id="151"/>
    </w:p>
    <w:p w14:paraId="2AA4283E">
      <w:pPr>
        <w:pStyle w:val="166"/>
      </w:pPr>
      <w:r>
        <w:rPr>
          <w:rFonts w:hint="eastAsia"/>
        </w:rPr>
        <w:t>地面塌陷测绘应包括塌陷区地形测绘和地质测绘，测绘精度应符合下列要求：</w:t>
      </w:r>
    </w:p>
    <w:p w14:paraId="76A88D7D">
      <w:pPr>
        <w:pStyle w:val="176"/>
        <w:numPr>
          <w:ilvl w:val="0"/>
          <w:numId w:val="41"/>
        </w:numPr>
      </w:pPr>
      <w:r>
        <w:rPr>
          <w:rFonts w:hint="eastAsia"/>
        </w:rPr>
        <w:t>地面塌陷测绘平面图比例尺宜在 1:1000～1:500 之间；</w:t>
      </w:r>
    </w:p>
    <w:p w14:paraId="3B48F2BD">
      <w:pPr>
        <w:pStyle w:val="176"/>
      </w:pPr>
      <w:r>
        <w:rPr>
          <w:rFonts w:hint="eastAsia"/>
        </w:rPr>
        <w:t>地面塌陷测绘剖面图比例尺宜在 1:500～1:100之间。</w:t>
      </w:r>
    </w:p>
    <w:p w14:paraId="507D1879">
      <w:pPr>
        <w:pStyle w:val="166"/>
      </w:pPr>
      <w:r>
        <w:rPr>
          <w:rFonts w:hint="eastAsia"/>
        </w:rPr>
        <w:t>应采用“穿越法与追索法”和“网格法”相结合的方法确定测绘路线，调查点应布设在地面塌陷点、地貌分界点、地层界线、构造线、标志层、岩性岩相变化带、井泉、地表水体和重要工程活动点、构筑物及其他典型露头。</w:t>
      </w:r>
    </w:p>
    <w:p w14:paraId="4F85246F">
      <w:pPr>
        <w:pStyle w:val="67"/>
        <w:spacing w:before="156" w:after="156"/>
      </w:pPr>
      <w:bookmarkStart w:id="152" w:name="_Toc178172319"/>
      <w:bookmarkStart w:id="153" w:name="_Toc176194115"/>
      <w:r>
        <w:rPr>
          <w:rFonts w:hint="eastAsia"/>
        </w:rPr>
        <w:t>勘查</w:t>
      </w:r>
      <w:bookmarkEnd w:id="152"/>
      <w:bookmarkEnd w:id="153"/>
    </w:p>
    <w:p w14:paraId="1B41BD06">
      <w:pPr>
        <w:pStyle w:val="166"/>
      </w:pPr>
      <w:r>
        <w:rPr>
          <w:rFonts w:hint="eastAsia"/>
        </w:rPr>
        <w:t>地面塌陷勘查应采用资料收集、工程地质调查与测绘、物探、钻探、变形监测和综合评价等方法，根据地质环境条件，有针对性地布置勘查工作，不宜采用等间距网格状方式布置勘探线（点）。</w:t>
      </w:r>
    </w:p>
    <w:p w14:paraId="5C08479B">
      <w:pPr>
        <w:pStyle w:val="166"/>
      </w:pPr>
      <w:r>
        <w:rPr>
          <w:rFonts w:hint="eastAsia"/>
        </w:rPr>
        <w:t>地面塌陷勘查具体要求参照 DZ/T 0447 相关规定执行。</w:t>
      </w:r>
    </w:p>
    <w:p w14:paraId="11AF9AF2">
      <w:pPr>
        <w:pStyle w:val="107"/>
        <w:spacing w:before="156" w:after="156"/>
      </w:pPr>
      <w:bookmarkStart w:id="154" w:name="_Toc176194116"/>
      <w:bookmarkStart w:id="155" w:name="_Toc178172320"/>
      <w:r>
        <w:rPr>
          <w:rFonts w:hint="eastAsia"/>
        </w:rPr>
        <w:t>地面沉降调查</w:t>
      </w:r>
      <w:bookmarkEnd w:id="154"/>
      <w:bookmarkEnd w:id="155"/>
    </w:p>
    <w:p w14:paraId="1062AA25">
      <w:pPr>
        <w:pStyle w:val="67"/>
        <w:spacing w:before="156" w:after="156"/>
      </w:pPr>
      <w:bookmarkStart w:id="156" w:name="_Toc178172321"/>
      <w:bookmarkStart w:id="157" w:name="_Toc176194117"/>
      <w:r>
        <w:rPr>
          <w:rFonts w:hint="eastAsia"/>
        </w:rPr>
        <w:t>一般要求</w:t>
      </w:r>
      <w:bookmarkEnd w:id="156"/>
      <w:bookmarkEnd w:id="157"/>
    </w:p>
    <w:p w14:paraId="1373084A">
      <w:pPr>
        <w:pStyle w:val="166"/>
      </w:pPr>
      <w:r>
        <w:rPr>
          <w:rFonts w:hint="eastAsia"/>
        </w:rPr>
        <w:t>调查范围和深度应在充分收集基础资料和分析区域地质背景的基础上，依据区域地质环境条件、地下水开发利用现状与规划、灾害发育程度、人类工程活动及社会经济发展重要程度等综合因素确定。</w:t>
      </w:r>
    </w:p>
    <w:p w14:paraId="3F11AACB">
      <w:pPr>
        <w:pStyle w:val="166"/>
      </w:pPr>
      <w:r>
        <w:rPr>
          <w:rFonts w:hint="eastAsia"/>
        </w:rPr>
        <w:t>针对不同地区调查类型宜采用区域调查、重点地区调查和专项调查相结合的方式进行，应开展地面沉降现象的实地调查和访问。</w:t>
      </w:r>
    </w:p>
    <w:p w14:paraId="2C716289">
      <w:pPr>
        <w:pStyle w:val="166"/>
      </w:pPr>
      <w:r>
        <w:rPr>
          <w:rFonts w:hint="eastAsia"/>
        </w:rPr>
        <w:t>其他要求应按照 DZ/T 0283 相关规定执行。</w:t>
      </w:r>
    </w:p>
    <w:p w14:paraId="39CF87BF">
      <w:pPr>
        <w:pStyle w:val="67"/>
        <w:spacing w:before="156" w:after="156"/>
      </w:pPr>
      <w:bookmarkStart w:id="158" w:name="_Toc178172322"/>
      <w:bookmarkStart w:id="159" w:name="_Toc176194118"/>
      <w:r>
        <w:rPr>
          <w:rFonts w:hint="eastAsia"/>
        </w:rPr>
        <w:t>调查内容</w:t>
      </w:r>
      <w:bookmarkEnd w:id="158"/>
      <w:bookmarkEnd w:id="159"/>
    </w:p>
    <w:p w14:paraId="13449A33">
      <w:pPr>
        <w:pStyle w:val="166"/>
      </w:pPr>
      <w:r>
        <w:rPr>
          <w:rFonts w:hint="eastAsia"/>
        </w:rPr>
        <w:t>应调查地面沉降灾害产生的地质背景条件，地形地貌与水网分布特征，基岩埋深、岩性分布特征，第四纪地层分布、厚度、岩性，水文地质结构和含水层基本特征，软土、吹填土、膨胀土等特殊性土的工程性质及分布条件。</w:t>
      </w:r>
    </w:p>
    <w:p w14:paraId="49DC5E29">
      <w:pPr>
        <w:pStyle w:val="166"/>
      </w:pPr>
      <w:r>
        <w:rPr>
          <w:rFonts w:hint="eastAsia"/>
        </w:rPr>
        <w:t>应调查与地面沉降密切相关的人类活动，地下水开发利用情况、地下水位动态特征，油、气开发利用情况、养殖、灌溉等农业活动，基坑施工等城市建设活动情况，人工场地形成区情况。</w:t>
      </w:r>
    </w:p>
    <w:p w14:paraId="5794D376">
      <w:pPr>
        <w:pStyle w:val="166"/>
      </w:pPr>
      <w:r>
        <w:rPr>
          <w:rFonts w:hint="eastAsia"/>
        </w:rPr>
        <w:t>宜开展地面沉降现象调查，调查建（构）筑物变形破坏、地面开裂、井台抬升、市政设施破坏、桥梁净空减小、水渠倒流、港口码头或堤岸失效、地面积涝、海水倒灌等地面沉降迹象与危害。</w:t>
      </w:r>
    </w:p>
    <w:p w14:paraId="276BAC08">
      <w:pPr>
        <w:pStyle w:val="67"/>
        <w:spacing w:before="156" w:after="156"/>
      </w:pPr>
      <w:bookmarkStart w:id="160" w:name="_Toc176194119"/>
      <w:bookmarkStart w:id="161" w:name="_Toc178172323"/>
      <w:r>
        <w:rPr>
          <w:rFonts w:hint="eastAsia"/>
        </w:rPr>
        <w:t>调查方法</w:t>
      </w:r>
      <w:bookmarkEnd w:id="160"/>
      <w:bookmarkEnd w:id="161"/>
    </w:p>
    <w:p w14:paraId="4A614D09">
      <w:pPr>
        <w:pStyle w:val="58"/>
        <w:ind w:firstLine="420"/>
      </w:pPr>
      <w:r>
        <w:rPr>
          <w:rFonts w:hint="eastAsia"/>
        </w:rPr>
        <w:t>地面沉降调查方法宜采用资料收集、遥感解译、地球物理勘探、钻探、测试和试验等方法。</w:t>
      </w:r>
    </w:p>
    <w:p w14:paraId="4985B16F">
      <w:pPr>
        <w:pStyle w:val="107"/>
        <w:spacing w:before="156" w:after="156"/>
      </w:pPr>
      <w:bookmarkStart w:id="162" w:name="_Toc178172324"/>
      <w:bookmarkStart w:id="163" w:name="_Toc176194120"/>
      <w:r>
        <w:rPr>
          <w:rFonts w:hint="eastAsia"/>
        </w:rPr>
        <w:t>地裂缝调查</w:t>
      </w:r>
      <w:bookmarkEnd w:id="162"/>
      <w:bookmarkEnd w:id="163"/>
    </w:p>
    <w:p w14:paraId="1DE5D680">
      <w:pPr>
        <w:pStyle w:val="67"/>
        <w:spacing w:before="156" w:after="156"/>
      </w:pPr>
      <w:bookmarkStart w:id="164" w:name="_Toc178172325"/>
      <w:bookmarkStart w:id="165" w:name="_Toc176194121"/>
      <w:r>
        <w:rPr>
          <w:rFonts w:hint="eastAsia"/>
        </w:rPr>
        <w:t>一般要求</w:t>
      </w:r>
      <w:bookmarkEnd w:id="164"/>
      <w:bookmarkEnd w:id="165"/>
    </w:p>
    <w:p w14:paraId="7A5FA54E">
      <w:pPr>
        <w:pStyle w:val="166"/>
      </w:pPr>
      <w:r>
        <w:rPr>
          <w:rFonts w:hint="eastAsia"/>
        </w:rPr>
        <w:t>地裂缝的分类应按附件 E.5 执行。</w:t>
      </w:r>
    </w:p>
    <w:p w14:paraId="425599E5">
      <w:pPr>
        <w:pStyle w:val="166"/>
      </w:pPr>
      <w:r>
        <w:rPr>
          <w:rFonts w:hint="eastAsia"/>
        </w:rPr>
        <w:t>应收集地裂缝发育区人类工程经济活动情况，特别是地下水开采历史及现状，收集或通过InSAR技术获取地面沉降的历史及现状。</w:t>
      </w:r>
    </w:p>
    <w:p w14:paraId="68FDCA12">
      <w:pPr>
        <w:pStyle w:val="166"/>
      </w:pPr>
      <w:r>
        <w:rPr>
          <w:rFonts w:hint="eastAsia"/>
        </w:rPr>
        <w:t>调查单元范围应为地裂缝场地和周边不小于 500m 范围内的地裂缝，以及场地外1000m 范围内指向场地的地裂缝，均应进行调查。</w:t>
      </w:r>
    </w:p>
    <w:p w14:paraId="6B3DF33F">
      <w:pPr>
        <w:pStyle w:val="166"/>
      </w:pPr>
      <w:r>
        <w:rPr>
          <w:rFonts w:hint="eastAsia"/>
        </w:rPr>
        <w:t>对已造成城镇、重要公共基础设施破坏且活动性较强的地裂缝，应进行专门性的勘查、监测工作，地裂缝活动性评价应按附件 J.6.2 执行。</w:t>
      </w:r>
    </w:p>
    <w:p w14:paraId="42A9A881">
      <w:pPr>
        <w:pStyle w:val="166"/>
      </w:pPr>
      <w:r>
        <w:rPr>
          <w:rFonts w:hint="eastAsia"/>
        </w:rPr>
        <w:t>地面调查采用的比例尺宜按下列要求进行：</w:t>
      </w:r>
    </w:p>
    <w:p w14:paraId="01B23702">
      <w:pPr>
        <w:pStyle w:val="176"/>
        <w:numPr>
          <w:ilvl w:val="0"/>
          <w:numId w:val="42"/>
        </w:numPr>
      </w:pPr>
      <w:r>
        <w:rPr>
          <w:rFonts w:hint="eastAsia"/>
        </w:rPr>
        <w:t>针对居民点和工程建设场地的地裂缝调查，比例尺宜在 1:2000～1:10 000 之间；</w:t>
      </w:r>
    </w:p>
    <w:p w14:paraId="4C7F568B">
      <w:pPr>
        <w:pStyle w:val="176"/>
      </w:pPr>
      <w:r>
        <w:rPr>
          <w:rFonts w:hint="eastAsia"/>
        </w:rPr>
        <w:t>对于开发区、线状工程等范围较大的地裂缝调查，比例尺不宜小于1:10 000。</w:t>
      </w:r>
    </w:p>
    <w:p w14:paraId="426E111C">
      <w:pPr>
        <w:pStyle w:val="67"/>
        <w:spacing w:before="156" w:after="156"/>
      </w:pPr>
      <w:bookmarkStart w:id="166" w:name="_Toc176194122"/>
      <w:bookmarkStart w:id="167" w:name="_Toc178172326"/>
      <w:r>
        <w:rPr>
          <w:rFonts w:hint="eastAsia"/>
        </w:rPr>
        <w:t>调查内容</w:t>
      </w:r>
      <w:bookmarkEnd w:id="166"/>
      <w:bookmarkEnd w:id="167"/>
    </w:p>
    <w:p w14:paraId="4CB41D4C">
      <w:pPr>
        <w:pStyle w:val="166"/>
      </w:pPr>
      <w:r>
        <w:rPr>
          <w:rFonts w:hint="eastAsia"/>
        </w:rPr>
        <w:t>调查地裂缝单缝和群缝的平面分布特征，包括：地表裂缝的总体分布范围、组合形态、展布方向；单缝的位置、延伸方向、长度、裂缝宽度、垂向位错量，以及地表影响区范围（主变形区、次变形区和微变形区）等。</w:t>
      </w:r>
    </w:p>
    <w:p w14:paraId="34D4C39A">
      <w:pPr>
        <w:pStyle w:val="166"/>
      </w:pPr>
      <w:r>
        <w:rPr>
          <w:rFonts w:hint="eastAsia"/>
        </w:rPr>
        <w:t>调查裂缝的剖面结构特征，包括：裂缝的产状要素、发育深度、裂缝面及充填物特征、裂缝数量、裂缝的相互关系，地层错断情况，地裂缝的变形分区特征等。</w:t>
      </w:r>
    </w:p>
    <w:p w14:paraId="6160C05D">
      <w:pPr>
        <w:pStyle w:val="166"/>
      </w:pPr>
      <w:r>
        <w:rPr>
          <w:rFonts w:hint="eastAsia"/>
        </w:rPr>
        <w:t xml:space="preserve">调查地裂缝的力学性质及活动特征，包括地裂缝的变形历史，可能的运动方式，分段活动特征及活动性、地裂缝的周期性活动特征等。 </w:t>
      </w:r>
    </w:p>
    <w:p w14:paraId="57C08C52">
      <w:pPr>
        <w:pStyle w:val="166"/>
      </w:pPr>
      <w:r>
        <w:rPr>
          <w:rFonts w:hint="eastAsia"/>
        </w:rPr>
        <w:t>调查地裂缝造成的地表附属物损毁情况，包括道路、桥梁、管线等基础设施、民房、厂矿学校、企业等建筑，以及农田等。应按附录 C表C.9记录调查和访问获取的相关数据。</w:t>
      </w:r>
    </w:p>
    <w:p w14:paraId="10D40C25">
      <w:pPr>
        <w:pStyle w:val="166"/>
      </w:pPr>
      <w:r>
        <w:rPr>
          <w:rFonts w:hint="eastAsia"/>
        </w:rPr>
        <w:t>调查地裂缝的孕灾条件，包括地形地貌、地层结构、地质构造、工程地质及水文地质条件等。</w:t>
      </w:r>
    </w:p>
    <w:p w14:paraId="31E29F90">
      <w:pPr>
        <w:pStyle w:val="166"/>
      </w:pPr>
      <w:r>
        <w:rPr>
          <w:rFonts w:hint="eastAsia"/>
        </w:rPr>
        <w:t>调查地裂缝的诱发条件，包括地下水开采历史及现状，地面沉降历史及现状，人类工程活动等。</w:t>
      </w:r>
    </w:p>
    <w:p w14:paraId="4D794DDB">
      <w:pPr>
        <w:pStyle w:val="166"/>
      </w:pPr>
      <w:r>
        <w:rPr>
          <w:rFonts w:hint="eastAsia"/>
        </w:rPr>
        <w:t>初步分析地裂缝成因类型、引发因素、分布规律和发展趋势。</w:t>
      </w:r>
    </w:p>
    <w:p w14:paraId="710A6CD9">
      <w:pPr>
        <w:pStyle w:val="67"/>
        <w:spacing w:before="156" w:after="156"/>
      </w:pPr>
      <w:bookmarkStart w:id="168" w:name="_Toc178172327"/>
      <w:bookmarkStart w:id="169" w:name="_Toc176194123"/>
      <w:r>
        <w:rPr>
          <w:rFonts w:hint="eastAsia"/>
        </w:rPr>
        <w:t>调查方法</w:t>
      </w:r>
      <w:bookmarkEnd w:id="168"/>
      <w:bookmarkEnd w:id="169"/>
    </w:p>
    <w:p w14:paraId="0B9B6A1B">
      <w:pPr>
        <w:pStyle w:val="166"/>
      </w:pPr>
      <w:r>
        <w:rPr>
          <w:rFonts w:hint="eastAsia"/>
        </w:rPr>
        <w:t>应采用野外工程地质测绘、遥感解译和地面核查等方法调查地裂缝的空间展布特征、变形特征和对地表附属物的损毁特征，并宜采用点、线、面相结合的方式进行。</w:t>
      </w:r>
    </w:p>
    <w:p w14:paraId="64423931">
      <w:pPr>
        <w:pStyle w:val="166"/>
      </w:pPr>
      <w:r>
        <w:rPr>
          <w:rFonts w:hint="eastAsia"/>
        </w:rPr>
        <w:t>应采用资料收集、地面调查、物探、钻探、槽探等方法调查地裂缝形成的孕灾地质条件和诱发因素。</w:t>
      </w:r>
    </w:p>
    <w:p w14:paraId="087D359B">
      <w:pPr>
        <w:pStyle w:val="166"/>
      </w:pPr>
      <w:r>
        <w:rPr>
          <w:rFonts w:hint="eastAsia"/>
        </w:rPr>
        <w:t>宜采用跨地裂缝水准测量、静力水准测量、裂缝计测量、InSAR、LiDAR 等技术方法，获取地裂缝的变形特征。</w:t>
      </w:r>
    </w:p>
    <w:p w14:paraId="79AAEF88">
      <w:pPr>
        <w:pStyle w:val="106"/>
        <w:spacing w:before="312" w:after="312"/>
      </w:pPr>
      <w:bookmarkStart w:id="170" w:name="_Toc176194124"/>
      <w:bookmarkStart w:id="171" w:name="_Toc178172328"/>
      <w:r>
        <w:rPr>
          <w:rFonts w:hint="eastAsia"/>
        </w:rPr>
        <w:t>承灾体调查</w:t>
      </w:r>
      <w:bookmarkEnd w:id="170"/>
      <w:bookmarkEnd w:id="171"/>
    </w:p>
    <w:p w14:paraId="7D7870AE">
      <w:pPr>
        <w:pStyle w:val="107"/>
        <w:spacing w:before="156" w:after="156"/>
      </w:pPr>
      <w:bookmarkStart w:id="172" w:name="_Toc176194125"/>
      <w:bookmarkStart w:id="173" w:name="_Toc178172329"/>
      <w:r>
        <w:rPr>
          <w:rFonts w:hint="eastAsia"/>
        </w:rPr>
        <w:t>一般要求</w:t>
      </w:r>
      <w:bookmarkEnd w:id="172"/>
      <w:bookmarkEnd w:id="173"/>
    </w:p>
    <w:p w14:paraId="1C5C4160">
      <w:pPr>
        <w:pStyle w:val="167"/>
      </w:pPr>
      <w:r>
        <w:rPr>
          <w:rFonts w:hint="eastAsia"/>
        </w:rPr>
        <w:t>根据收集资料，结合遥感调查解译和野外调查进行承灾体调查。涉及人员的承灾体调查应在资料收集的基础上通过现场调查确定；不涉及人员的承灾体可通过资料收集、遥感解译确定，必要时补充调查工作。</w:t>
      </w:r>
    </w:p>
    <w:p w14:paraId="1A44B9A6">
      <w:pPr>
        <w:pStyle w:val="167"/>
      </w:pPr>
      <w:r>
        <w:rPr>
          <w:rFonts w:hint="eastAsia"/>
        </w:rPr>
        <w:t>应充分考虑地质灾害链造成的潜在承灾体，必要时需纳入调查范围。</w:t>
      </w:r>
    </w:p>
    <w:p w14:paraId="5992CA81">
      <w:pPr>
        <w:pStyle w:val="167"/>
      </w:pPr>
      <w:r>
        <w:rPr>
          <w:rFonts w:hint="eastAsia"/>
        </w:rPr>
        <w:t>调查对象包括受地质灾害威胁的人员、工业与民用建筑，基础设施、工程活动和其它，调查内容参见表 2 。</w:t>
      </w:r>
    </w:p>
    <w:p w14:paraId="6F6F8F5A">
      <w:pPr>
        <w:pStyle w:val="167"/>
      </w:pPr>
      <w:r>
        <w:rPr>
          <w:rFonts w:hint="eastAsia"/>
        </w:rPr>
        <w:t>承灾体调查记录格式及相关调查内容参照C 表 C.10 执行。</w:t>
      </w:r>
    </w:p>
    <w:p w14:paraId="25DB5D64">
      <w:pPr>
        <w:pStyle w:val="167"/>
      </w:pPr>
      <w:r>
        <w:rPr>
          <w:rFonts w:hint="eastAsia"/>
        </w:rPr>
        <w:t>调查结果应与当地乡镇人民政府、村委会等进行核实。</w:t>
      </w:r>
    </w:p>
    <w:p w14:paraId="6C756B4C">
      <w:pPr>
        <w:pStyle w:val="167"/>
      </w:pPr>
      <w:r>
        <w:rPr>
          <w:rFonts w:hint="eastAsia"/>
        </w:rPr>
        <w:t>地面沉降承灾体应收集调查人口、GDP、建设用地比重、重大线性工程密度、防灾减灾投入等。</w:t>
      </w:r>
    </w:p>
    <w:p w14:paraId="3AD09845">
      <w:pPr>
        <w:pStyle w:val="107"/>
        <w:spacing w:before="156" w:after="156"/>
      </w:pPr>
      <w:bookmarkStart w:id="174" w:name="_Toc176194126"/>
      <w:bookmarkStart w:id="175" w:name="_Toc178172330"/>
      <w:r>
        <w:rPr>
          <w:rFonts w:hint="eastAsia"/>
        </w:rPr>
        <w:t>人员调查</w:t>
      </w:r>
      <w:bookmarkEnd w:id="174"/>
      <w:bookmarkEnd w:id="175"/>
    </w:p>
    <w:p w14:paraId="67E79405">
      <w:pPr>
        <w:pStyle w:val="167"/>
      </w:pPr>
      <w:r>
        <w:rPr>
          <w:rFonts w:hint="eastAsia"/>
        </w:rPr>
        <w:t>人员调查应根据遥感影像图、地理国情普查数据、不动产登记数据、农村住房信息数据、国民经济和社会发展统计公报等，结合野外核查展开。</w:t>
      </w:r>
    </w:p>
    <w:p w14:paraId="13C9CDC0">
      <w:pPr>
        <w:pStyle w:val="167"/>
      </w:pPr>
      <w:r>
        <w:rPr>
          <w:rFonts w:hint="eastAsia"/>
        </w:rPr>
        <w:t>应调查建筑物内的家庭常住人口和户籍人口数量，以及景区、民宿、宗教场所、学校、重大工程活动、工矿企业、集市等场所的流动人员情况。</w:t>
      </w:r>
    </w:p>
    <w:p w14:paraId="5908E60E">
      <w:pPr>
        <w:pStyle w:val="107"/>
        <w:spacing w:before="156" w:after="156"/>
      </w:pPr>
      <w:bookmarkStart w:id="176" w:name="_Toc178172331"/>
      <w:bookmarkStart w:id="177" w:name="_Toc176194127"/>
      <w:r>
        <w:rPr>
          <w:rFonts w:hint="eastAsia"/>
        </w:rPr>
        <w:t>经济类承灾体调查</w:t>
      </w:r>
      <w:bookmarkEnd w:id="176"/>
      <w:bookmarkEnd w:id="177"/>
    </w:p>
    <w:p w14:paraId="5C7C3F0F">
      <w:pPr>
        <w:pStyle w:val="167"/>
      </w:pPr>
      <w:r>
        <w:rPr>
          <w:rFonts w:hint="eastAsia"/>
        </w:rPr>
        <w:t>工业与民用建筑和基础设施调查应包括结构类型、建筑用途、建筑规模、使用情况、结构、经济价值等。</w:t>
      </w:r>
    </w:p>
    <w:p w14:paraId="258BFFD0">
      <w:pPr>
        <w:pStyle w:val="167"/>
      </w:pPr>
      <w:r>
        <w:rPr>
          <w:rFonts w:hint="eastAsia"/>
        </w:rPr>
        <w:t>工程活动调查内容应包括范围、规模、投资情况、建设工期、经济价值等。</w:t>
      </w:r>
    </w:p>
    <w:p w14:paraId="06E18E7B">
      <w:pPr>
        <w:pStyle w:val="167"/>
      </w:pPr>
      <w:r>
        <w:rPr>
          <w:rFonts w:hint="eastAsia"/>
        </w:rPr>
        <w:t>应调查承灾体与致灾体的空间位置关系，评估可能受地质灾害的威胁情况。</w:t>
      </w:r>
    </w:p>
    <w:p w14:paraId="1623B5D7">
      <w:pPr>
        <w:pStyle w:val="167"/>
      </w:pPr>
      <w:r>
        <w:rPr>
          <w:rFonts w:hint="eastAsia"/>
        </w:rPr>
        <w:t>应调查承灾体本身的经济价值，即直接经济价值。对与该承灾体相关联或受该承灾体影响的其它对象（活动）的经济价值，即间接经济价值，不作调查。</w:t>
      </w:r>
    </w:p>
    <w:p w14:paraId="5072507E">
      <w:pPr>
        <w:pStyle w:val="167"/>
      </w:pPr>
      <w:r>
        <w:rPr>
          <w:rFonts w:hint="eastAsia"/>
        </w:rPr>
        <w:t>在开展开发园区地质灾害风险调查时，应将规划拟建构筑物纳入范围。</w:t>
      </w:r>
    </w:p>
    <w:p w14:paraId="2AD876FA">
      <w:pPr>
        <w:pStyle w:val="114"/>
        <w:spacing w:before="156" w:after="156"/>
      </w:pPr>
      <w:r>
        <w:rPr>
          <w:rFonts w:hint="eastAsia"/>
        </w:rPr>
        <w:t>承灾体调查内容</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124"/>
        <w:gridCol w:w="709"/>
        <w:gridCol w:w="1843"/>
        <w:gridCol w:w="5658"/>
      </w:tblGrid>
      <w:tr w14:paraId="4FEA6C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124" w:type="dxa"/>
            <w:tcBorders>
              <w:top w:val="single" w:color="auto" w:sz="8" w:space="0"/>
              <w:bottom w:val="single" w:color="auto" w:sz="8" w:space="0"/>
            </w:tcBorders>
            <w:shd w:val="clear" w:color="auto" w:fill="auto"/>
          </w:tcPr>
          <w:p w14:paraId="4D591110">
            <w:pPr>
              <w:pStyle w:val="180"/>
            </w:pPr>
            <w:r>
              <w:rPr>
                <w:rFonts w:hint="eastAsia"/>
              </w:rPr>
              <w:t>序号</w:t>
            </w:r>
          </w:p>
        </w:tc>
        <w:tc>
          <w:tcPr>
            <w:tcW w:w="2552" w:type="dxa"/>
            <w:gridSpan w:val="2"/>
            <w:tcBorders>
              <w:top w:val="single" w:color="auto" w:sz="8" w:space="0"/>
              <w:bottom w:val="single" w:color="auto" w:sz="8" w:space="0"/>
            </w:tcBorders>
            <w:shd w:val="clear" w:color="auto" w:fill="auto"/>
          </w:tcPr>
          <w:p w14:paraId="6CF06E26">
            <w:pPr>
              <w:pStyle w:val="180"/>
            </w:pPr>
            <w:r>
              <w:rPr>
                <w:rFonts w:hint="eastAsia"/>
              </w:rPr>
              <w:t>承灾体</w:t>
            </w:r>
          </w:p>
        </w:tc>
        <w:tc>
          <w:tcPr>
            <w:tcW w:w="5658" w:type="dxa"/>
            <w:tcBorders>
              <w:top w:val="single" w:color="auto" w:sz="8" w:space="0"/>
              <w:bottom w:val="single" w:color="auto" w:sz="8" w:space="0"/>
            </w:tcBorders>
            <w:shd w:val="clear" w:color="auto" w:fill="auto"/>
          </w:tcPr>
          <w:p w14:paraId="5EBE91C0">
            <w:pPr>
              <w:pStyle w:val="180"/>
            </w:pPr>
            <w:r>
              <w:rPr>
                <w:rFonts w:hint="eastAsia"/>
              </w:rPr>
              <w:t>调查内容</w:t>
            </w:r>
          </w:p>
        </w:tc>
      </w:tr>
      <w:tr w14:paraId="593BE6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tcBorders>
              <w:top w:val="single" w:color="auto" w:sz="8" w:space="0"/>
            </w:tcBorders>
            <w:shd w:val="clear" w:color="auto" w:fill="auto"/>
          </w:tcPr>
          <w:p w14:paraId="6F62D6A8">
            <w:pPr>
              <w:pStyle w:val="180"/>
            </w:pPr>
            <w:r>
              <w:rPr>
                <w:rFonts w:hint="eastAsia"/>
              </w:rPr>
              <w:t>1</w:t>
            </w:r>
          </w:p>
        </w:tc>
        <w:tc>
          <w:tcPr>
            <w:tcW w:w="2552" w:type="dxa"/>
            <w:gridSpan w:val="2"/>
            <w:tcBorders>
              <w:top w:val="single" w:color="auto" w:sz="8" w:space="0"/>
            </w:tcBorders>
            <w:shd w:val="clear" w:color="auto" w:fill="auto"/>
          </w:tcPr>
          <w:p w14:paraId="3DD1DB33">
            <w:pPr>
              <w:pStyle w:val="180"/>
            </w:pPr>
            <w:r>
              <w:rPr>
                <w:rFonts w:hint="eastAsia"/>
              </w:rPr>
              <w:t>人员</w:t>
            </w:r>
          </w:p>
        </w:tc>
        <w:tc>
          <w:tcPr>
            <w:tcW w:w="5658" w:type="dxa"/>
            <w:tcBorders>
              <w:top w:val="single" w:color="auto" w:sz="8" w:space="0"/>
            </w:tcBorders>
            <w:shd w:val="clear" w:color="auto" w:fill="auto"/>
          </w:tcPr>
          <w:p w14:paraId="36D30A38">
            <w:pPr>
              <w:pStyle w:val="180"/>
            </w:pPr>
            <w:r>
              <w:rPr>
                <w:rFonts w:hint="eastAsia"/>
              </w:rPr>
              <w:t>居住、工作或旅游等人员数量和人员结构</w:t>
            </w:r>
          </w:p>
        </w:tc>
      </w:tr>
      <w:tr w14:paraId="29BA2F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shd w:val="clear" w:color="auto" w:fill="auto"/>
          </w:tcPr>
          <w:p w14:paraId="69FD1245">
            <w:pPr>
              <w:pStyle w:val="180"/>
            </w:pPr>
            <w:r>
              <w:rPr>
                <w:rFonts w:hint="eastAsia"/>
              </w:rPr>
              <w:t>2</w:t>
            </w:r>
          </w:p>
        </w:tc>
        <w:tc>
          <w:tcPr>
            <w:tcW w:w="709" w:type="dxa"/>
            <w:vMerge w:val="restart"/>
            <w:shd w:val="clear" w:color="auto" w:fill="auto"/>
            <w:vAlign w:val="center"/>
          </w:tcPr>
          <w:p w14:paraId="2CB2C5EC">
            <w:pPr>
              <w:pStyle w:val="180"/>
            </w:pPr>
            <w:r>
              <w:rPr>
                <w:rFonts w:hint="eastAsia"/>
              </w:rPr>
              <w:t>经济类承灾体</w:t>
            </w:r>
          </w:p>
        </w:tc>
        <w:tc>
          <w:tcPr>
            <w:tcW w:w="1843" w:type="dxa"/>
            <w:shd w:val="clear" w:color="auto" w:fill="auto"/>
            <w:vAlign w:val="center"/>
          </w:tcPr>
          <w:p w14:paraId="615FB4F1">
            <w:pPr>
              <w:pStyle w:val="180"/>
            </w:pPr>
            <w:r>
              <w:rPr>
                <w:rFonts w:hint="eastAsia"/>
              </w:rPr>
              <w:t>工业与民用建筑</w:t>
            </w:r>
          </w:p>
        </w:tc>
        <w:tc>
          <w:tcPr>
            <w:tcW w:w="5658" w:type="dxa"/>
            <w:shd w:val="clear" w:color="auto" w:fill="auto"/>
            <w:vAlign w:val="center"/>
          </w:tcPr>
          <w:p w14:paraId="2FAD62F5">
            <w:pPr>
              <w:pStyle w:val="180"/>
            </w:pPr>
            <w:r>
              <w:rPr>
                <w:rFonts w:hint="eastAsia"/>
              </w:rPr>
              <w:t>民房、学校、医院、宗教场所、厂房、仓库、工棚、养殖场等</w:t>
            </w:r>
          </w:p>
        </w:tc>
      </w:tr>
      <w:tr w14:paraId="682604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shd w:val="clear" w:color="auto" w:fill="auto"/>
          </w:tcPr>
          <w:p w14:paraId="66CDE958">
            <w:pPr>
              <w:pStyle w:val="180"/>
            </w:pPr>
            <w:r>
              <w:rPr>
                <w:rFonts w:hint="eastAsia"/>
              </w:rPr>
              <w:t>3</w:t>
            </w:r>
          </w:p>
        </w:tc>
        <w:tc>
          <w:tcPr>
            <w:tcW w:w="709" w:type="dxa"/>
            <w:vMerge w:val="continue"/>
            <w:shd w:val="clear" w:color="auto" w:fill="auto"/>
            <w:vAlign w:val="center"/>
          </w:tcPr>
          <w:p w14:paraId="047DC909">
            <w:pPr>
              <w:pStyle w:val="180"/>
            </w:pPr>
          </w:p>
        </w:tc>
        <w:tc>
          <w:tcPr>
            <w:tcW w:w="1843" w:type="dxa"/>
            <w:shd w:val="clear" w:color="auto" w:fill="auto"/>
            <w:vAlign w:val="center"/>
          </w:tcPr>
          <w:p w14:paraId="68961F9B">
            <w:pPr>
              <w:pStyle w:val="180"/>
            </w:pPr>
            <w:r>
              <w:rPr>
                <w:rFonts w:hint="eastAsia"/>
              </w:rPr>
              <w:t>基础设施</w:t>
            </w:r>
          </w:p>
        </w:tc>
        <w:tc>
          <w:tcPr>
            <w:tcW w:w="5658" w:type="dxa"/>
            <w:shd w:val="clear" w:color="auto" w:fill="auto"/>
            <w:vAlign w:val="center"/>
          </w:tcPr>
          <w:p w14:paraId="62476622">
            <w:pPr>
              <w:pStyle w:val="180"/>
            </w:pPr>
            <w:r>
              <w:rPr>
                <w:rFonts w:hint="eastAsia"/>
              </w:rPr>
              <w:t>道路交通、水利设施、生活设施、通信设施等</w:t>
            </w:r>
          </w:p>
        </w:tc>
      </w:tr>
      <w:tr w14:paraId="728D89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shd w:val="clear" w:color="auto" w:fill="auto"/>
          </w:tcPr>
          <w:p w14:paraId="158BC1D8">
            <w:pPr>
              <w:pStyle w:val="180"/>
            </w:pPr>
            <w:r>
              <w:rPr>
                <w:rFonts w:hint="eastAsia"/>
              </w:rPr>
              <w:t>4</w:t>
            </w:r>
          </w:p>
        </w:tc>
        <w:tc>
          <w:tcPr>
            <w:tcW w:w="709" w:type="dxa"/>
            <w:vMerge w:val="continue"/>
            <w:shd w:val="clear" w:color="auto" w:fill="auto"/>
            <w:vAlign w:val="center"/>
          </w:tcPr>
          <w:p w14:paraId="2D9847E6">
            <w:pPr>
              <w:pStyle w:val="180"/>
            </w:pPr>
          </w:p>
        </w:tc>
        <w:tc>
          <w:tcPr>
            <w:tcW w:w="1843" w:type="dxa"/>
            <w:shd w:val="clear" w:color="auto" w:fill="auto"/>
            <w:vAlign w:val="center"/>
          </w:tcPr>
          <w:p w14:paraId="460B0085">
            <w:pPr>
              <w:pStyle w:val="180"/>
            </w:pPr>
            <w:r>
              <w:rPr>
                <w:rFonts w:hint="eastAsia"/>
              </w:rPr>
              <w:t>工程活动</w:t>
            </w:r>
          </w:p>
        </w:tc>
        <w:tc>
          <w:tcPr>
            <w:tcW w:w="5658" w:type="dxa"/>
            <w:shd w:val="clear" w:color="auto" w:fill="auto"/>
            <w:vAlign w:val="center"/>
          </w:tcPr>
          <w:p w14:paraId="2F1FD079">
            <w:pPr>
              <w:pStyle w:val="180"/>
            </w:pPr>
            <w:r>
              <w:rPr>
                <w:rFonts w:hint="eastAsia"/>
              </w:rPr>
              <w:t>矿产资源开发利用，在建水利水电、交通建设等工程</w:t>
            </w:r>
          </w:p>
        </w:tc>
      </w:tr>
      <w:tr w14:paraId="535565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shd w:val="clear" w:color="auto" w:fill="auto"/>
          </w:tcPr>
          <w:p w14:paraId="3AEE2625">
            <w:pPr>
              <w:pStyle w:val="180"/>
            </w:pPr>
            <w:r>
              <w:rPr>
                <w:rFonts w:hint="eastAsia"/>
              </w:rPr>
              <w:t>5</w:t>
            </w:r>
          </w:p>
        </w:tc>
        <w:tc>
          <w:tcPr>
            <w:tcW w:w="709" w:type="dxa"/>
            <w:vMerge w:val="continue"/>
            <w:shd w:val="clear" w:color="auto" w:fill="auto"/>
          </w:tcPr>
          <w:p w14:paraId="5D3A2AE3">
            <w:pPr>
              <w:pStyle w:val="180"/>
            </w:pPr>
          </w:p>
        </w:tc>
        <w:tc>
          <w:tcPr>
            <w:tcW w:w="1843" w:type="dxa"/>
            <w:shd w:val="clear" w:color="auto" w:fill="auto"/>
          </w:tcPr>
          <w:p w14:paraId="1B8C3151">
            <w:pPr>
              <w:pStyle w:val="180"/>
            </w:pPr>
            <w:r>
              <w:rPr>
                <w:rFonts w:hint="eastAsia"/>
              </w:rPr>
              <w:t>其它</w:t>
            </w:r>
          </w:p>
        </w:tc>
        <w:tc>
          <w:tcPr>
            <w:tcW w:w="5658" w:type="dxa"/>
            <w:shd w:val="clear" w:color="auto" w:fill="auto"/>
          </w:tcPr>
          <w:p w14:paraId="6C4CA4A6">
            <w:pPr>
              <w:pStyle w:val="180"/>
            </w:pPr>
            <w:r>
              <w:rPr>
                <w:rFonts w:hint="eastAsia"/>
              </w:rPr>
              <w:t>自然保护地、景区等</w:t>
            </w:r>
          </w:p>
        </w:tc>
      </w:tr>
    </w:tbl>
    <w:p w14:paraId="2E8A5A33">
      <w:pPr>
        <w:pStyle w:val="106"/>
        <w:spacing w:before="312" w:after="312"/>
      </w:pPr>
      <w:bookmarkStart w:id="178" w:name="_Toc178172332"/>
      <w:bookmarkStart w:id="179" w:name="_Toc176194128"/>
      <w:r>
        <w:rPr>
          <w:rFonts w:hint="eastAsia"/>
        </w:rPr>
        <w:t>地质灾害风险评价</w:t>
      </w:r>
      <w:bookmarkEnd w:id="178"/>
      <w:bookmarkEnd w:id="179"/>
    </w:p>
    <w:p w14:paraId="30A47FE9">
      <w:pPr>
        <w:pStyle w:val="107"/>
        <w:spacing w:before="156" w:after="156"/>
      </w:pPr>
      <w:bookmarkStart w:id="180" w:name="_Toc176194129"/>
      <w:bookmarkStart w:id="181" w:name="_Toc178172333"/>
      <w:r>
        <w:rPr>
          <w:rFonts w:hint="eastAsia"/>
        </w:rPr>
        <w:t>一般要求</w:t>
      </w:r>
      <w:bookmarkEnd w:id="180"/>
      <w:bookmarkEnd w:id="181"/>
    </w:p>
    <w:p w14:paraId="588FF23E">
      <w:pPr>
        <w:pStyle w:val="167"/>
      </w:pPr>
      <w:r>
        <w:rPr>
          <w:rFonts w:hint="eastAsia"/>
        </w:rPr>
        <w:t>应在地质灾害易发性、危险性及承灾体易损性评价的基础上，采用定性与定量相结合的方法开展地质灾害风险评价。</w:t>
      </w:r>
    </w:p>
    <w:p w14:paraId="254D2657">
      <w:pPr>
        <w:pStyle w:val="167"/>
      </w:pPr>
      <w:r>
        <w:rPr>
          <w:rFonts w:hint="eastAsia"/>
        </w:rPr>
        <w:t>应在总结调查区内地质灾害成灾规律和成灾模式的基础上，根据主控孕灾地质条件组合特征建立地质灾害风险评价指标体系。</w:t>
      </w:r>
    </w:p>
    <w:p w14:paraId="60E96727">
      <w:pPr>
        <w:pStyle w:val="167"/>
      </w:pPr>
      <w:r>
        <w:rPr>
          <w:rFonts w:hint="eastAsia"/>
        </w:rPr>
        <w:t>承灾体易损性宜根据致灾体规模、类型、特征，与承灾体的空间关系，按定性或定量的方法确定。</w:t>
      </w:r>
    </w:p>
    <w:p w14:paraId="21B90955">
      <w:pPr>
        <w:pStyle w:val="107"/>
        <w:spacing w:before="156" w:after="156"/>
      </w:pPr>
      <w:bookmarkStart w:id="182" w:name="_Toc178172334"/>
      <w:bookmarkStart w:id="183" w:name="_Toc176194130"/>
      <w:r>
        <w:rPr>
          <w:rFonts w:hint="eastAsia"/>
        </w:rPr>
        <w:t>突发性地质灾害风险评价</w:t>
      </w:r>
      <w:bookmarkEnd w:id="182"/>
      <w:bookmarkEnd w:id="183"/>
    </w:p>
    <w:p w14:paraId="187CAFCF">
      <w:pPr>
        <w:pStyle w:val="67"/>
        <w:spacing w:before="156" w:after="156"/>
      </w:pPr>
      <w:bookmarkStart w:id="184" w:name="_Toc176194131"/>
      <w:bookmarkStart w:id="185" w:name="_Toc178172335"/>
      <w:r>
        <w:rPr>
          <w:rFonts w:hint="eastAsia"/>
        </w:rPr>
        <w:t>易发性评价</w:t>
      </w:r>
      <w:bookmarkEnd w:id="184"/>
      <w:bookmarkEnd w:id="185"/>
    </w:p>
    <w:p w14:paraId="4BE65E29">
      <w:pPr>
        <w:pStyle w:val="166"/>
      </w:pPr>
      <w:r>
        <w:rPr>
          <w:rFonts w:hint="eastAsia"/>
        </w:rPr>
        <w:t>应在地质环境条件和地质灾害成因规律分析基础上，确定评价指标和指标分级阈值，并与地质灾害发育程度相匹配。</w:t>
      </w:r>
    </w:p>
    <w:p w14:paraId="5FB727A7">
      <w:pPr>
        <w:pStyle w:val="166"/>
      </w:pPr>
      <w:r>
        <w:rPr>
          <w:rFonts w:hint="eastAsia"/>
        </w:rPr>
        <w:t>评价指标应包含地形地貌、斜坡物质结构、地质构造、人类工程活动等。</w:t>
      </w:r>
    </w:p>
    <w:p w14:paraId="10792CEE">
      <w:pPr>
        <w:pStyle w:val="166"/>
      </w:pPr>
      <w:r>
        <w:rPr>
          <w:rFonts w:hint="eastAsia"/>
        </w:rPr>
        <w:t>应采用综合指数法、信息量法或证据权重法等方法计算地质灾害易发性指数 Y，易发性评价评价方法参见附录I.1。</w:t>
      </w:r>
    </w:p>
    <w:p w14:paraId="6491F604">
      <w:pPr>
        <w:pStyle w:val="166"/>
      </w:pPr>
      <w:r>
        <w:rPr>
          <w:rFonts w:hint="eastAsia"/>
        </w:rPr>
        <w:t>应根据易发性指数划分高、中、低和不易发四个等级。</w:t>
      </w:r>
    </w:p>
    <w:p w14:paraId="35DA2C98">
      <w:pPr>
        <w:pStyle w:val="67"/>
        <w:spacing w:before="156" w:after="156"/>
      </w:pPr>
      <w:bookmarkStart w:id="186" w:name="_Toc176194132"/>
      <w:bookmarkStart w:id="187" w:name="_Toc178172336"/>
      <w:r>
        <w:rPr>
          <w:rFonts w:hint="eastAsia"/>
        </w:rPr>
        <w:t>危险性评价</w:t>
      </w:r>
      <w:bookmarkEnd w:id="186"/>
      <w:bookmarkEnd w:id="187"/>
    </w:p>
    <w:p w14:paraId="69158F81">
      <w:pPr>
        <w:pStyle w:val="166"/>
      </w:pPr>
      <w:r>
        <w:rPr>
          <w:rFonts w:hint="eastAsia"/>
        </w:rPr>
        <w:t>应在易发性评价的基础上，结合地质灾害诱发因素，选取不同工况或特定工况开展危险性评价。滑坡、崩塌、泥石流宜优先考虑降雨诱发因素，在有活动断裂分布的地区，宜叠加考虑地震诱发因素。地面塌陷地质灾害宜选取地下水动力条件、工程活动、极端降雨、已有塌陷等因素。</w:t>
      </w:r>
    </w:p>
    <w:p w14:paraId="7B2F2B11">
      <w:pPr>
        <w:pStyle w:val="166"/>
      </w:pPr>
      <w:r>
        <w:rPr>
          <w:rFonts w:hint="eastAsia"/>
        </w:rPr>
        <w:t>应采用定性或定量方式确定评价单元地质灾害危险性指数 H，定性评价计算方法参见附录I.2。</w:t>
      </w:r>
    </w:p>
    <w:p w14:paraId="5B9417E5">
      <w:pPr>
        <w:pStyle w:val="166"/>
      </w:pPr>
      <w:r>
        <w:rPr>
          <w:rFonts w:hint="eastAsia"/>
        </w:rPr>
        <w:t>典型地段应在地质灾害勘查基础上，计算稳定性系数和危险性指数 H，危险性分级参见附录I.4表I.10。</w:t>
      </w:r>
    </w:p>
    <w:p w14:paraId="5B659B9C">
      <w:pPr>
        <w:pStyle w:val="166"/>
      </w:pPr>
      <w:r>
        <w:rPr>
          <w:rFonts w:hint="eastAsia"/>
        </w:rPr>
        <w:t>根据危险性评价结果划分极高、高、中和低危险四个等级。</w:t>
      </w:r>
    </w:p>
    <w:p w14:paraId="06B80C3F">
      <w:pPr>
        <w:pStyle w:val="166"/>
      </w:pPr>
      <w:r>
        <w:rPr>
          <w:rFonts w:hint="eastAsia"/>
        </w:rPr>
        <w:t>宜采用ROC检验等方式对危险性评价精度进行检验分析。</w:t>
      </w:r>
    </w:p>
    <w:p w14:paraId="552C14DB">
      <w:pPr>
        <w:pStyle w:val="67"/>
        <w:spacing w:before="156" w:after="156"/>
      </w:pPr>
      <w:bookmarkStart w:id="188" w:name="_Toc176194133"/>
      <w:bookmarkStart w:id="189" w:name="_Toc178172337"/>
      <w:r>
        <w:rPr>
          <w:rFonts w:hint="eastAsia"/>
        </w:rPr>
        <w:t>易损性评价</w:t>
      </w:r>
      <w:bookmarkEnd w:id="188"/>
      <w:bookmarkEnd w:id="189"/>
    </w:p>
    <w:p w14:paraId="045C3EEC">
      <w:pPr>
        <w:pStyle w:val="166"/>
      </w:pPr>
      <w:r>
        <w:rPr>
          <w:rFonts w:hint="eastAsia"/>
        </w:rPr>
        <w:t>应综合考虑孕灾地质条件和致灾因素，确定地质灾害发生后最大可能影响范围内的各类承灾体。</w:t>
      </w:r>
    </w:p>
    <w:p w14:paraId="61E68A52">
      <w:pPr>
        <w:pStyle w:val="166"/>
      </w:pPr>
      <w:r>
        <w:rPr>
          <w:rFonts w:hint="eastAsia"/>
        </w:rPr>
        <w:t>应在承灾体调查基础上，分别人员、基础设施、工程活动等易损性。</w:t>
      </w:r>
    </w:p>
    <w:p w14:paraId="64555A88">
      <w:pPr>
        <w:pStyle w:val="166"/>
      </w:pPr>
      <w:r>
        <w:rPr>
          <w:rFonts w:hint="eastAsia"/>
        </w:rPr>
        <w:t>人员易损性宜按最大风险原则，确定易损性为 1 。</w:t>
      </w:r>
    </w:p>
    <w:p w14:paraId="190A6701">
      <w:pPr>
        <w:pStyle w:val="166"/>
      </w:pPr>
      <w:r>
        <w:rPr>
          <w:rFonts w:hint="eastAsia"/>
        </w:rPr>
        <w:t>经济类承灾体应根据承灾体本身的特征及与灾害体的空间位置关系评估确定。部分经济类承灾体的易损性参见附录 I.3表I.11。当无法划分危害区等级与范围时，可按严重危险害区等级判定。拟建构筑物易损性参照附录 I.3表I.11同类承灾体确定。</w:t>
      </w:r>
    </w:p>
    <w:p w14:paraId="0D6A0A40">
      <w:pPr>
        <w:pStyle w:val="67"/>
        <w:spacing w:before="156" w:after="156"/>
      </w:pPr>
      <w:bookmarkStart w:id="190" w:name="_Toc176194134"/>
      <w:bookmarkStart w:id="191" w:name="_Toc178172338"/>
      <w:r>
        <w:rPr>
          <w:rFonts w:hint="eastAsia"/>
        </w:rPr>
        <w:t>风险评价</w:t>
      </w:r>
      <w:bookmarkEnd w:id="190"/>
      <w:bookmarkEnd w:id="191"/>
    </w:p>
    <w:p w14:paraId="4E96BE6A">
      <w:pPr>
        <w:pStyle w:val="166"/>
      </w:pPr>
      <w:r>
        <w:rPr>
          <w:rFonts w:hint="eastAsia"/>
        </w:rPr>
        <w:t>应分别开展人员伤亡风险评价、经济损失风险评价和综合风险评价。</w:t>
      </w:r>
    </w:p>
    <w:p w14:paraId="57596550">
      <w:pPr>
        <w:pStyle w:val="166"/>
      </w:pPr>
      <w:r>
        <w:rPr>
          <w:rFonts w:hint="eastAsia"/>
        </w:rPr>
        <w:t>应在地质灾害危险性和承灾体易损性评价的基础上以定量或定性方式开展风险评价，定量评价可采用公式（1）计算人员伤亡风险值和经济损失风险值R。</w:t>
      </w:r>
    </w:p>
    <w:p w14:paraId="5F31B0A2">
      <w:pPr>
        <w:pStyle w:val="115"/>
      </w:pPr>
      <w:r>
        <w:rPr>
          <w:rFonts w:hint="eastAsia"/>
        </w:rPr>
        <w:tab/>
      </w:r>
      <m:oMath>
        <m:sSub>
          <m:sSubPr>
            <m:ctrlPr>
              <w:rPr>
                <w:rFonts w:ascii="Cambria Math" w:hAnsi="Times New Roman"/>
                <w:i/>
              </w:rPr>
            </m:ctrlPr>
          </m:sSubPr>
          <m:e>
            <m:r>
              <m:rPr/>
              <w:rPr>
                <w:rFonts w:ascii="Cambria Math" w:hAnsi="Times New Roman"/>
              </w:rPr>
              <m:t>R</m:t>
            </m:r>
            <m:ctrlPr>
              <w:rPr>
                <w:rFonts w:ascii="Cambria Math" w:hAnsi="Times New Roman"/>
                <w:i/>
              </w:rPr>
            </m:ctrlPr>
          </m:e>
          <m:sub>
            <m:r>
              <m:rPr/>
              <w:rPr>
                <w:rFonts w:ascii="Cambria Math" w:hAnsi="Times New Roman"/>
              </w:rPr>
              <m:t>i</m:t>
            </m:r>
            <m:ctrlPr>
              <w:rPr>
                <w:rFonts w:ascii="Cambria Math" w:hAnsi="Times New Roman"/>
                <w:i/>
              </w:rPr>
            </m:ctrlPr>
          </m:sub>
        </m:sSub>
        <m:r>
          <m:rPr/>
          <w:rPr>
            <w:rFonts w:ascii="Cambria Math" w:hAnsi="Times New Roman"/>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j</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j</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j</m:t>
            </m:r>
            <m:ctrlPr>
              <w:rPr>
                <w:rFonts w:ascii="Cambria Math" w:hAnsi="Cambria Math"/>
              </w:rPr>
            </m:ctrlPr>
          </m:sub>
        </m:sSub>
      </m:oMath>
      <w:r>
        <w:rPr>
          <w:rFonts w:hint="eastAsia" w:ascii="微软雅黑" w:eastAsia="微软雅黑"/>
        </w:rPr>
        <w:tab/>
      </w:r>
      <w:r>
        <w:t>(</w:t>
      </w:r>
      <w:r>
        <w:fldChar w:fldCharType="begin"/>
      </w:r>
      <w:r>
        <w:instrText xml:space="preserve"> AUTONUM </w:instrText>
      </w:r>
      <w:r>
        <w:fldChar w:fldCharType="end"/>
      </w:r>
      <w:r>
        <w:t>)</w:t>
      </w:r>
    </w:p>
    <w:p w14:paraId="493A76F9">
      <w:pPr>
        <w:pStyle w:val="57"/>
        <w:ind w:firstLine="420"/>
      </w:pPr>
      <w:r>
        <w:rPr>
          <w:rFonts w:hint="eastAsia"/>
        </w:rPr>
        <w:t>式中：</w:t>
      </w:r>
    </w:p>
    <w:p w14:paraId="2C79E33F">
      <w:pPr>
        <w:pStyle w:val="58"/>
        <w:ind w:firstLine="420"/>
      </w:pPr>
      <w:r>
        <w:rPr>
          <w:rFonts w:hint="eastAsia"/>
        </w:rPr>
        <w:t>R</w:t>
      </w:r>
      <w:r>
        <w:rPr>
          <w:rFonts w:hint="eastAsia"/>
          <w:vertAlign w:val="subscript"/>
        </w:rPr>
        <w:t>i</w:t>
      </w:r>
      <w:r>
        <w:rPr>
          <w:rFonts w:hint="eastAsia"/>
        </w:rPr>
        <w:t xml:space="preserve"> ——某工况下第 i 评价单元风险值；</w:t>
      </w:r>
    </w:p>
    <w:p w14:paraId="5B0FA8EC">
      <w:pPr>
        <w:pStyle w:val="58"/>
        <w:ind w:firstLine="420"/>
      </w:pPr>
      <w:r>
        <w:rPr>
          <w:rFonts w:hint="eastAsia"/>
        </w:rPr>
        <w:t>H</w:t>
      </w:r>
      <w:r>
        <w:rPr>
          <w:rFonts w:hint="eastAsia"/>
          <w:vertAlign w:val="subscript"/>
        </w:rPr>
        <w:t>j</w:t>
      </w:r>
      <w:r>
        <w:rPr>
          <w:rFonts w:hint="eastAsia"/>
        </w:rPr>
        <w:t xml:space="preserve"> ——某工况下第 i 评价单元内 j 号承灾体地质灾害危险性指数；</w:t>
      </w:r>
    </w:p>
    <w:p w14:paraId="02D0590E">
      <w:pPr>
        <w:pStyle w:val="58"/>
        <w:ind w:firstLine="420"/>
      </w:pPr>
      <w:r>
        <w:rPr>
          <w:rFonts w:hint="eastAsia"/>
        </w:rPr>
        <w:t>E</w:t>
      </w:r>
      <w:r>
        <w:rPr>
          <w:rFonts w:hint="eastAsia"/>
          <w:vertAlign w:val="subscript"/>
        </w:rPr>
        <w:t>j</w:t>
      </w:r>
      <w:r>
        <w:rPr>
          <w:rFonts w:hint="eastAsia"/>
        </w:rPr>
        <w:t xml:space="preserve"> ——某工况下第 i 评价单元内 j 号承灾体数量（人员：人；经济价值：万元）；</w:t>
      </w:r>
    </w:p>
    <w:p w14:paraId="07DA332D">
      <w:pPr>
        <w:pStyle w:val="58"/>
        <w:ind w:firstLine="420"/>
      </w:pPr>
      <w:r>
        <w:rPr>
          <w:rFonts w:hint="eastAsia"/>
        </w:rPr>
        <w:t>V</w:t>
      </w:r>
      <w:r>
        <w:rPr>
          <w:rFonts w:hint="eastAsia"/>
          <w:vertAlign w:val="subscript"/>
        </w:rPr>
        <w:t>j</w:t>
      </w:r>
      <w:r>
        <w:rPr>
          <w:rFonts w:hint="eastAsia"/>
        </w:rPr>
        <w:t xml:space="preserve"> ——某工况下第 i 评价单元内 j 号承灾体易损性。</w:t>
      </w:r>
    </w:p>
    <w:p w14:paraId="7A18406D">
      <w:pPr>
        <w:pStyle w:val="166"/>
      </w:pPr>
      <w:r>
        <w:rPr>
          <w:rFonts w:hint="eastAsia"/>
        </w:rPr>
        <w:t>根据评价结果，划分极高、高、中和低风险四个等级。综合风险等级可根据评价单元人员伤亡风险和经济损失风险等级，按就高原则确定。</w:t>
      </w:r>
    </w:p>
    <w:p w14:paraId="4D086D5D">
      <w:pPr>
        <w:pStyle w:val="107"/>
        <w:spacing w:before="156" w:after="156"/>
      </w:pPr>
      <w:bookmarkStart w:id="192" w:name="_Toc176194135"/>
      <w:bookmarkStart w:id="193" w:name="_Toc178172339"/>
      <w:r>
        <w:rPr>
          <w:rFonts w:hint="eastAsia"/>
        </w:rPr>
        <w:t>地面沉降风险评价</w:t>
      </w:r>
      <w:bookmarkEnd w:id="192"/>
      <w:bookmarkEnd w:id="193"/>
    </w:p>
    <w:p w14:paraId="6C32C020">
      <w:pPr>
        <w:pStyle w:val="67"/>
        <w:spacing w:before="156" w:after="156"/>
      </w:pPr>
      <w:bookmarkStart w:id="194" w:name="_Toc176194136"/>
      <w:bookmarkStart w:id="195" w:name="_Toc178172340"/>
      <w:r>
        <w:rPr>
          <w:rFonts w:hint="eastAsia"/>
        </w:rPr>
        <w:t>评价内容</w:t>
      </w:r>
      <w:bookmarkEnd w:id="194"/>
      <w:bookmarkEnd w:id="195"/>
    </w:p>
    <w:p w14:paraId="10D7EE81">
      <w:pPr>
        <w:pStyle w:val="166"/>
      </w:pPr>
      <w:r>
        <w:rPr>
          <w:rFonts w:hint="eastAsia"/>
        </w:rPr>
        <w:t>地面沉降风险评价应以地面沉降调查和监测成果为依据开展，包括危险性评价、易损性评价、防灾减灾能力评价等。</w:t>
      </w:r>
    </w:p>
    <w:p w14:paraId="46E59378">
      <w:pPr>
        <w:pStyle w:val="166"/>
      </w:pPr>
      <w:r>
        <w:rPr>
          <w:rFonts w:hint="eastAsia"/>
        </w:rPr>
        <w:t>地面沉降危险性评价因子应包含地面沉降易发程度、地面沉降发育程度、地下水开采强度等。</w:t>
      </w:r>
    </w:p>
    <w:p w14:paraId="70573CCE">
      <w:pPr>
        <w:pStyle w:val="166"/>
      </w:pPr>
      <w:r>
        <w:rPr>
          <w:rFonts w:hint="eastAsia"/>
        </w:rPr>
        <w:t>地面沉降易损性评价因子宜包含人口密度、单位面积 GDP、建设用地比重、线性工程密度、地下空间密度、地面高程等。</w:t>
      </w:r>
    </w:p>
    <w:p w14:paraId="40EEC59E">
      <w:pPr>
        <w:pStyle w:val="166"/>
      </w:pPr>
      <w:r>
        <w:rPr>
          <w:rFonts w:hint="eastAsia"/>
        </w:rPr>
        <w:t>地面沉降防灾减灾能力评价因子宜包含地面沉降监测网密度、地下水压采量占开采量比重及其他评价因子。</w:t>
      </w:r>
    </w:p>
    <w:p w14:paraId="1958E22B">
      <w:pPr>
        <w:pStyle w:val="67"/>
        <w:spacing w:before="156" w:after="156"/>
      </w:pPr>
      <w:bookmarkStart w:id="196" w:name="_Toc178172341"/>
      <w:bookmarkStart w:id="197" w:name="_Toc176194137"/>
      <w:r>
        <w:rPr>
          <w:rFonts w:hint="eastAsia"/>
        </w:rPr>
        <w:t>地面沉降危险性评价</w:t>
      </w:r>
      <w:bookmarkEnd w:id="196"/>
      <w:bookmarkEnd w:id="197"/>
    </w:p>
    <w:p w14:paraId="60C72578">
      <w:pPr>
        <w:pStyle w:val="166"/>
      </w:pPr>
      <w:r>
        <w:rPr>
          <w:rFonts w:hint="eastAsia"/>
        </w:rPr>
        <w:t>地面沉降易发程度宜根据松散沉积层厚度、黏（软）土层厚度及压缩性、地下水含水层数量及富水性等因子进行评价，评价标准可参照表3。现代冲（洪）积平原、三角洲平原和断陷盆地等地貌类型划为地面沉降易发区，基岩区为非易发区。地面沉降易发程度可采用易发性指数进行判别，按照公式（2）计算，宜将易发性划分为高、中、低和不易发区四个级别。</w:t>
      </w:r>
    </w:p>
    <w:p w14:paraId="69871B11">
      <w:pPr>
        <w:pStyle w:val="115"/>
      </w:pPr>
      <w:r>
        <w:rPr>
          <w:rFonts w:hint="eastAsia"/>
        </w:rPr>
        <w:tab/>
      </w:r>
      <m:oMath>
        <m:r>
          <m:rPr/>
          <w:rPr>
            <w:rFonts w:ascii="Cambria Math" w:hAnsi="Cambria Math"/>
          </w:rPr>
          <m:t>Y</m:t>
        </m:r>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r>
          <m:rPr/>
          <w:rPr>
            <w:rFonts w:hint="eastAsia" w:ascii="Cambria Math" w:hAnsi="Cambria Math" w:eastAsia="TimesNewRomanPS-ItalicMT"/>
          </w:rPr>
          <m:t>σ</m:t>
        </m:r>
        <m:r>
          <m:rPr/>
          <w:rPr>
            <w:rFonts w:hint="eastAsia" w:ascii="Cambria Math" w:hAnsi="Cambria Math" w:eastAsia="TimesNewRomanPS-ItalicMT"/>
            <w:sz w:val="14"/>
          </w:rPr>
          <m:t>i</m:t>
        </m:r>
        <m:r>
          <m:rPr/>
          <w:rPr>
            <w:rFonts w:ascii="Cambria Math" w:hAnsi="Cambria Math" w:eastAsia="TimesNewRomanPS-ItalicMT"/>
            <w:sz w:val="14"/>
          </w:rPr>
          <m:t>×</m:t>
        </m:r>
        <m:sSub>
          <m:sSubPr>
            <m:ctrlPr>
              <w:rPr>
                <w:rFonts w:ascii="Cambria Math" w:hAnsi="Cambria Math"/>
                <w:i/>
              </w:rPr>
            </m:ctrlPr>
          </m:sSubPr>
          <m:e>
            <m:r>
              <m:rPr/>
              <w:rPr>
                <w:rFonts w:hint="eastAsia" w:ascii="Cambria Math" w:hAnsi="Cambria Math"/>
              </w:rPr>
              <m:t>τ</m:t>
            </m:r>
            <m:ctrlPr>
              <w:rPr>
                <w:rFonts w:ascii="Cambria Math" w:hAnsi="Cambria Math"/>
                <w:i/>
              </w:rPr>
            </m:ctrlPr>
          </m:e>
          <m:sub>
            <m:r>
              <m:rPr/>
              <w:rPr>
                <w:rFonts w:ascii="Cambria Math" w:hAnsi="Cambria Math"/>
              </w:rPr>
              <m:t>i</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2122149E">
      <w:pPr>
        <w:pStyle w:val="57"/>
        <w:ind w:firstLine="420"/>
      </w:pPr>
      <w:r>
        <w:rPr>
          <w:rFonts w:hint="eastAsia"/>
        </w:rPr>
        <w:t>式中：</w:t>
      </w:r>
    </w:p>
    <w:p w14:paraId="192FFC45">
      <w:pPr>
        <w:pStyle w:val="58"/>
        <w:ind w:firstLine="420"/>
      </w:pPr>
      <w:r>
        <w:rPr>
          <w:rFonts w:hint="eastAsia"/>
        </w:rPr>
        <w:t>Y  ——易发性指数；</w:t>
      </w:r>
    </w:p>
    <w:p w14:paraId="60EDB423">
      <w:pPr>
        <w:pStyle w:val="58"/>
        <w:ind w:firstLine="420"/>
      </w:pPr>
      <w:r>
        <w:rPr>
          <w:rFonts w:hint="eastAsia"/>
        </w:rPr>
        <w:t>σ</w:t>
      </w:r>
      <w:r>
        <w:rPr>
          <w:rFonts w:hint="eastAsia"/>
          <w:vertAlign w:val="subscript"/>
        </w:rPr>
        <w:t>i</w:t>
      </w:r>
      <w:r>
        <w:rPr>
          <w:rFonts w:hint="eastAsia"/>
        </w:rPr>
        <w:t xml:space="preserve"> ——第 i 个评价因子权重；</w:t>
      </w:r>
    </w:p>
    <w:p w14:paraId="1A249116">
      <w:pPr>
        <w:pStyle w:val="58"/>
        <w:ind w:firstLine="420"/>
      </w:pPr>
      <w:r>
        <w:rPr>
          <w:rFonts w:hint="eastAsia"/>
        </w:rPr>
        <w:t>τ</w:t>
      </w:r>
      <w:r>
        <w:rPr>
          <w:rFonts w:hint="eastAsia"/>
          <w:vertAlign w:val="subscript"/>
        </w:rPr>
        <w:t>i</w:t>
      </w:r>
      <w:r>
        <w:rPr>
          <w:rFonts w:hint="eastAsia"/>
        </w:rPr>
        <w:t xml:space="preserve"> ——第 i 个评价因子等级分值；</w:t>
      </w:r>
    </w:p>
    <w:p w14:paraId="07DEC1D4">
      <w:pPr>
        <w:pStyle w:val="58"/>
        <w:ind w:firstLine="420"/>
      </w:pPr>
      <w:r>
        <w:rPr>
          <w:rFonts w:hint="eastAsia"/>
        </w:rPr>
        <w:t>i  ——第 i 个评价因子；</w:t>
      </w:r>
    </w:p>
    <w:p w14:paraId="7B4DDD5F">
      <w:pPr>
        <w:pStyle w:val="58"/>
        <w:ind w:firstLine="420"/>
      </w:pPr>
      <w:r>
        <w:rPr>
          <w:rFonts w:hint="eastAsia"/>
        </w:rPr>
        <w:t>n  ——评价因子个数。</w:t>
      </w:r>
    </w:p>
    <w:p w14:paraId="4DE029EB">
      <w:pPr>
        <w:pStyle w:val="114"/>
        <w:spacing w:before="156" w:after="156"/>
      </w:pPr>
      <w:r>
        <w:rPr>
          <w:rFonts w:hint="eastAsia"/>
        </w:rPr>
        <w:t>地面沉降易发程度分级表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699"/>
        <w:gridCol w:w="2413"/>
        <w:gridCol w:w="1555"/>
        <w:gridCol w:w="1555"/>
        <w:gridCol w:w="1556"/>
        <w:gridCol w:w="1556"/>
      </w:tblGrid>
      <w:tr w14:paraId="2367D8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2" w:type="dxa"/>
            <w:gridSpan w:val="2"/>
            <w:vMerge w:val="restart"/>
            <w:tcBorders>
              <w:top w:val="single" w:color="auto" w:sz="8" w:space="0"/>
            </w:tcBorders>
            <w:shd w:val="clear" w:color="auto" w:fill="auto"/>
            <w:vAlign w:val="center"/>
          </w:tcPr>
          <w:p w14:paraId="41FF9132">
            <w:pPr>
              <w:pStyle w:val="180"/>
            </w:pPr>
            <w:r>
              <w:rPr>
                <w:rFonts w:hint="eastAsia"/>
              </w:rPr>
              <w:t>判别要素</w:t>
            </w:r>
          </w:p>
        </w:tc>
        <w:tc>
          <w:tcPr>
            <w:tcW w:w="6222" w:type="dxa"/>
            <w:gridSpan w:val="4"/>
            <w:tcBorders>
              <w:top w:val="single" w:color="auto" w:sz="8" w:space="0"/>
              <w:bottom w:val="single" w:color="auto" w:sz="8" w:space="0"/>
            </w:tcBorders>
            <w:shd w:val="clear" w:color="auto" w:fill="auto"/>
            <w:vAlign w:val="center"/>
          </w:tcPr>
          <w:p w14:paraId="0FB4BA9D">
            <w:pPr>
              <w:pStyle w:val="180"/>
            </w:pPr>
            <w:r>
              <w:rPr>
                <w:rFonts w:hint="eastAsia"/>
              </w:rPr>
              <w:t>易发性评价</w:t>
            </w:r>
          </w:p>
        </w:tc>
      </w:tr>
      <w:tr w14:paraId="2D7E67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2" w:type="dxa"/>
            <w:gridSpan w:val="2"/>
            <w:vMerge w:val="continue"/>
            <w:shd w:val="clear" w:color="auto" w:fill="auto"/>
            <w:vAlign w:val="center"/>
          </w:tcPr>
          <w:p w14:paraId="3F6989E4">
            <w:pPr>
              <w:pStyle w:val="180"/>
            </w:pPr>
          </w:p>
        </w:tc>
        <w:tc>
          <w:tcPr>
            <w:tcW w:w="1555" w:type="dxa"/>
            <w:vMerge w:val="restart"/>
            <w:tcBorders>
              <w:top w:val="single" w:color="auto" w:sz="8" w:space="0"/>
            </w:tcBorders>
            <w:shd w:val="clear" w:color="auto" w:fill="auto"/>
            <w:vAlign w:val="center"/>
          </w:tcPr>
          <w:p w14:paraId="03CDE52C">
            <w:pPr>
              <w:pStyle w:val="180"/>
            </w:pPr>
            <w:r>
              <w:rPr>
                <w:rFonts w:hint="eastAsia"/>
              </w:rPr>
              <w:t>权重值</w:t>
            </w:r>
          </w:p>
          <w:p w14:paraId="4EDBD162">
            <w:pPr>
              <w:pStyle w:val="180"/>
            </w:pPr>
            <w:r>
              <w:rPr>
                <w:rFonts w:hint="eastAsia"/>
              </w:rPr>
              <w:t>σ</w:t>
            </w:r>
            <w:r>
              <w:t>i</w:t>
            </w:r>
          </w:p>
        </w:tc>
        <w:tc>
          <w:tcPr>
            <w:tcW w:w="4667" w:type="dxa"/>
            <w:gridSpan w:val="3"/>
            <w:tcBorders>
              <w:top w:val="single" w:color="auto" w:sz="8" w:space="0"/>
            </w:tcBorders>
            <w:shd w:val="clear" w:color="auto" w:fill="auto"/>
            <w:vAlign w:val="center"/>
          </w:tcPr>
          <w:p w14:paraId="7F8DD4D3">
            <w:pPr>
              <w:pStyle w:val="180"/>
            </w:pPr>
            <w:r>
              <w:rPr>
                <w:rFonts w:hint="eastAsia"/>
              </w:rPr>
              <w:t>标度分值</w:t>
            </w:r>
          </w:p>
          <w:p w14:paraId="25AB08D4">
            <w:pPr>
              <w:pStyle w:val="180"/>
            </w:pPr>
            <w:r>
              <w:rPr>
                <w:rFonts w:hint="eastAsia"/>
              </w:rPr>
              <w:t>τ</w:t>
            </w:r>
            <w:r>
              <w:t>i</w:t>
            </w:r>
          </w:p>
        </w:tc>
      </w:tr>
      <w:tr w14:paraId="6F186E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2" w:type="dxa"/>
            <w:gridSpan w:val="2"/>
            <w:vMerge w:val="continue"/>
            <w:shd w:val="clear" w:color="auto" w:fill="auto"/>
            <w:vAlign w:val="center"/>
          </w:tcPr>
          <w:p w14:paraId="0254F9DC">
            <w:pPr>
              <w:pStyle w:val="180"/>
            </w:pPr>
          </w:p>
        </w:tc>
        <w:tc>
          <w:tcPr>
            <w:tcW w:w="1555" w:type="dxa"/>
            <w:vMerge w:val="continue"/>
            <w:shd w:val="clear" w:color="auto" w:fill="auto"/>
            <w:vAlign w:val="center"/>
          </w:tcPr>
          <w:p w14:paraId="11021084">
            <w:pPr>
              <w:pStyle w:val="180"/>
            </w:pPr>
          </w:p>
        </w:tc>
        <w:tc>
          <w:tcPr>
            <w:tcW w:w="1555" w:type="dxa"/>
            <w:shd w:val="clear" w:color="auto" w:fill="auto"/>
          </w:tcPr>
          <w:p w14:paraId="17405626">
            <w:pPr>
              <w:pStyle w:val="180"/>
            </w:pPr>
            <w:r>
              <w:rPr>
                <w:rFonts w:hint="eastAsia"/>
              </w:rPr>
              <w:t>三级（5）</w:t>
            </w:r>
          </w:p>
        </w:tc>
        <w:tc>
          <w:tcPr>
            <w:tcW w:w="1556" w:type="dxa"/>
            <w:shd w:val="clear" w:color="auto" w:fill="auto"/>
          </w:tcPr>
          <w:p w14:paraId="1A35B125">
            <w:pPr>
              <w:pStyle w:val="180"/>
            </w:pPr>
            <w:r>
              <w:rPr>
                <w:rFonts w:hint="eastAsia"/>
              </w:rPr>
              <w:t>二级（3）</w:t>
            </w:r>
          </w:p>
        </w:tc>
        <w:tc>
          <w:tcPr>
            <w:tcW w:w="1556" w:type="dxa"/>
            <w:shd w:val="clear" w:color="auto" w:fill="auto"/>
          </w:tcPr>
          <w:p w14:paraId="18D99AE8">
            <w:pPr>
              <w:pStyle w:val="180"/>
            </w:pPr>
            <w:r>
              <w:rPr>
                <w:rFonts w:hint="eastAsia"/>
              </w:rPr>
              <w:t>一级（1）</w:t>
            </w:r>
          </w:p>
        </w:tc>
      </w:tr>
      <w:tr w14:paraId="0796D5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tcPr>
          <w:p w14:paraId="1747A185">
            <w:pPr>
              <w:pStyle w:val="180"/>
            </w:pPr>
            <w:r>
              <w:t>1</w:t>
            </w:r>
          </w:p>
        </w:tc>
        <w:tc>
          <w:tcPr>
            <w:tcW w:w="2413" w:type="dxa"/>
            <w:shd w:val="clear" w:color="auto" w:fill="auto"/>
          </w:tcPr>
          <w:p w14:paraId="320C37D2">
            <w:pPr>
              <w:pStyle w:val="180"/>
            </w:pPr>
            <w:r>
              <w:rPr>
                <w:rFonts w:hint="eastAsia"/>
              </w:rPr>
              <w:t>松散沉积物厚度 /m</w:t>
            </w:r>
          </w:p>
        </w:tc>
        <w:tc>
          <w:tcPr>
            <w:tcW w:w="1555" w:type="dxa"/>
            <w:shd w:val="clear" w:color="auto" w:fill="auto"/>
          </w:tcPr>
          <w:p w14:paraId="19C6383A">
            <w:pPr>
              <w:pStyle w:val="180"/>
            </w:pPr>
            <w:r>
              <w:rPr>
                <w:rFonts w:hint="eastAsia"/>
              </w:rPr>
              <w:t>σ1</w:t>
            </w:r>
          </w:p>
        </w:tc>
        <w:tc>
          <w:tcPr>
            <w:tcW w:w="1555" w:type="dxa"/>
            <w:shd w:val="clear" w:color="auto" w:fill="auto"/>
          </w:tcPr>
          <w:p w14:paraId="6467C0BD">
            <w:pPr>
              <w:pStyle w:val="180"/>
            </w:pPr>
            <w:r>
              <w:rPr>
                <w:rFonts w:hint="eastAsia"/>
              </w:rPr>
              <w:t>≥150</w:t>
            </w:r>
          </w:p>
        </w:tc>
        <w:tc>
          <w:tcPr>
            <w:tcW w:w="1556" w:type="dxa"/>
            <w:shd w:val="clear" w:color="auto" w:fill="auto"/>
          </w:tcPr>
          <w:p w14:paraId="7B5A1149">
            <w:pPr>
              <w:pStyle w:val="180"/>
            </w:pPr>
            <w:r>
              <w:rPr>
                <w:rFonts w:hint="eastAsia"/>
              </w:rPr>
              <w:t>100～150</w:t>
            </w:r>
          </w:p>
        </w:tc>
        <w:tc>
          <w:tcPr>
            <w:tcW w:w="1556" w:type="dxa"/>
            <w:shd w:val="clear" w:color="auto" w:fill="auto"/>
          </w:tcPr>
          <w:p w14:paraId="49561CAC">
            <w:pPr>
              <w:pStyle w:val="180"/>
            </w:pPr>
            <w:r>
              <w:rPr>
                <w:rFonts w:hint="eastAsia"/>
              </w:rPr>
              <w:t>＜100</w:t>
            </w:r>
          </w:p>
        </w:tc>
      </w:tr>
      <w:tr w14:paraId="6F2C49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tcPr>
          <w:p w14:paraId="40938D88">
            <w:pPr>
              <w:pStyle w:val="180"/>
            </w:pPr>
            <w:r>
              <w:t>2</w:t>
            </w:r>
          </w:p>
        </w:tc>
        <w:tc>
          <w:tcPr>
            <w:tcW w:w="2413" w:type="dxa"/>
            <w:shd w:val="clear" w:color="auto" w:fill="auto"/>
          </w:tcPr>
          <w:p w14:paraId="77A95F43">
            <w:pPr>
              <w:pStyle w:val="180"/>
            </w:pPr>
            <w:r>
              <w:rPr>
                <w:rFonts w:hint="eastAsia"/>
              </w:rPr>
              <w:t>黏（软）土层厚度 /m</w:t>
            </w:r>
          </w:p>
        </w:tc>
        <w:tc>
          <w:tcPr>
            <w:tcW w:w="1555" w:type="dxa"/>
            <w:shd w:val="clear" w:color="auto" w:fill="auto"/>
          </w:tcPr>
          <w:p w14:paraId="37B88AC5">
            <w:pPr>
              <w:pStyle w:val="180"/>
            </w:pPr>
            <w:r>
              <w:rPr>
                <w:rFonts w:hint="eastAsia"/>
              </w:rPr>
              <w:t>σ2</w:t>
            </w:r>
          </w:p>
        </w:tc>
        <w:tc>
          <w:tcPr>
            <w:tcW w:w="1555" w:type="dxa"/>
            <w:shd w:val="clear" w:color="auto" w:fill="auto"/>
          </w:tcPr>
          <w:p w14:paraId="3DB0841A">
            <w:pPr>
              <w:pStyle w:val="180"/>
            </w:pPr>
            <w:r>
              <w:rPr>
                <w:rFonts w:hint="eastAsia"/>
              </w:rPr>
              <w:t>≥30</w:t>
            </w:r>
          </w:p>
        </w:tc>
        <w:tc>
          <w:tcPr>
            <w:tcW w:w="1556" w:type="dxa"/>
            <w:shd w:val="clear" w:color="auto" w:fill="auto"/>
          </w:tcPr>
          <w:p w14:paraId="37C8BFCC">
            <w:pPr>
              <w:pStyle w:val="180"/>
            </w:pPr>
            <w:r>
              <w:rPr>
                <w:rFonts w:hint="eastAsia"/>
              </w:rPr>
              <w:t>20～30</w:t>
            </w:r>
          </w:p>
        </w:tc>
        <w:tc>
          <w:tcPr>
            <w:tcW w:w="1556" w:type="dxa"/>
            <w:shd w:val="clear" w:color="auto" w:fill="auto"/>
          </w:tcPr>
          <w:p w14:paraId="2B72D398">
            <w:pPr>
              <w:pStyle w:val="180"/>
            </w:pPr>
            <w:r>
              <w:rPr>
                <w:rFonts w:hint="eastAsia"/>
              </w:rPr>
              <w:t>＜20</w:t>
            </w:r>
          </w:p>
        </w:tc>
      </w:tr>
      <w:tr w14:paraId="2E3CDD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tcPr>
          <w:p w14:paraId="111D15E4">
            <w:pPr>
              <w:pStyle w:val="180"/>
            </w:pPr>
            <w:r>
              <w:t>3</w:t>
            </w:r>
          </w:p>
        </w:tc>
        <w:tc>
          <w:tcPr>
            <w:tcW w:w="2413" w:type="dxa"/>
            <w:shd w:val="clear" w:color="auto" w:fill="auto"/>
          </w:tcPr>
          <w:p w14:paraId="23DD8AFF">
            <w:pPr>
              <w:pStyle w:val="180"/>
            </w:pPr>
            <w:r>
              <w:rPr>
                <w:rFonts w:hint="eastAsia"/>
              </w:rPr>
              <w:t>含水层数量 /个</w:t>
            </w:r>
          </w:p>
        </w:tc>
        <w:tc>
          <w:tcPr>
            <w:tcW w:w="1555" w:type="dxa"/>
            <w:shd w:val="clear" w:color="auto" w:fill="auto"/>
          </w:tcPr>
          <w:p w14:paraId="052A10D6">
            <w:pPr>
              <w:pStyle w:val="180"/>
            </w:pPr>
            <w:r>
              <w:rPr>
                <w:rFonts w:hint="eastAsia"/>
              </w:rPr>
              <w:t>σ3</w:t>
            </w:r>
          </w:p>
        </w:tc>
        <w:tc>
          <w:tcPr>
            <w:tcW w:w="1555" w:type="dxa"/>
            <w:shd w:val="clear" w:color="auto" w:fill="auto"/>
          </w:tcPr>
          <w:p w14:paraId="39D49E0F">
            <w:pPr>
              <w:pStyle w:val="180"/>
            </w:pPr>
            <w:r>
              <w:rPr>
                <w:rFonts w:hint="eastAsia"/>
              </w:rPr>
              <w:t>≥3</w:t>
            </w:r>
          </w:p>
        </w:tc>
        <w:tc>
          <w:tcPr>
            <w:tcW w:w="1556" w:type="dxa"/>
            <w:shd w:val="clear" w:color="auto" w:fill="auto"/>
          </w:tcPr>
          <w:p w14:paraId="2CC087C2">
            <w:pPr>
              <w:pStyle w:val="180"/>
            </w:pPr>
            <w:r>
              <w:rPr>
                <w:rFonts w:hint="eastAsia"/>
              </w:rPr>
              <w:t>2</w:t>
            </w:r>
          </w:p>
        </w:tc>
        <w:tc>
          <w:tcPr>
            <w:tcW w:w="1556" w:type="dxa"/>
            <w:shd w:val="clear" w:color="auto" w:fill="auto"/>
          </w:tcPr>
          <w:p w14:paraId="7124DCF0">
            <w:pPr>
              <w:pStyle w:val="180"/>
            </w:pPr>
            <w:r>
              <w:rPr>
                <w:rFonts w:hint="eastAsia"/>
              </w:rPr>
              <w:t>1</w:t>
            </w:r>
          </w:p>
        </w:tc>
      </w:tr>
    </w:tbl>
    <w:p w14:paraId="70A72875">
      <w:pPr>
        <w:pStyle w:val="166"/>
      </w:pPr>
      <w:r>
        <w:rPr>
          <w:rFonts w:hint="eastAsia"/>
        </w:rPr>
        <w:t>地面沉降发育程度：判别因素包括近五年平均沉降速率和累计沉降量，近五年平均速率反映地面沉降的发展趋势，累计沉降量反映地面沉降缓变性并逐年累积的特征。地面沉降速率和累计沉降量越大，发育程度越强，危险性越高。评价标准可参考GB/T 40112，分级见表4。在表4分级的基础上，宜将发育程度划分为极强、强、中和弱四个级别。</w:t>
      </w:r>
    </w:p>
    <w:p w14:paraId="4D7C099A">
      <w:pPr>
        <w:pStyle w:val="166"/>
      </w:pPr>
      <w:r>
        <w:rPr>
          <w:rFonts w:hint="eastAsia"/>
        </w:rPr>
        <w:t>地下水开采强度：各地区结合地貌类型，根据各地区地下水开采模数（104m3/km2·a）相对大小，地下水开采强度宜划分为极高、高、中、低四个级别。对于地下水开采强度资料难以获取的地区，可根据地下水开采实际情况，采用地下水开采层位的年度或年均水位降幅替代，多层地下水开采区，地下水水位降幅可累加计算。</w:t>
      </w:r>
    </w:p>
    <w:p w14:paraId="012417AF">
      <w:pPr>
        <w:pStyle w:val="114"/>
        <w:spacing w:before="156" w:after="156"/>
      </w:pPr>
      <w:r>
        <w:rPr>
          <w:rFonts w:hint="eastAsia"/>
        </w:rPr>
        <w:t>地面沉降发育程度分级表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2333"/>
        <w:gridCol w:w="2333"/>
        <w:gridCol w:w="2334"/>
      </w:tblGrid>
      <w:tr w14:paraId="68AFD0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restart"/>
            <w:tcBorders>
              <w:top w:val="single" w:color="auto" w:sz="8" w:space="0"/>
              <w:left w:val="single" w:color="auto" w:sz="8" w:space="0"/>
              <w:bottom w:val="single" w:color="auto" w:sz="4" w:space="0"/>
              <w:right w:val="single" w:color="auto" w:sz="4" w:space="0"/>
            </w:tcBorders>
            <w:vAlign w:val="center"/>
          </w:tcPr>
          <w:p w14:paraId="3930EE15">
            <w:pPr>
              <w:pStyle w:val="180"/>
            </w:pPr>
            <w:r>
              <w:rPr>
                <w:rFonts w:hint="eastAsia"/>
              </w:rPr>
              <w:t>判别要素</w:t>
            </w:r>
          </w:p>
        </w:tc>
        <w:tc>
          <w:tcPr>
            <w:tcW w:w="7000" w:type="dxa"/>
            <w:gridSpan w:val="3"/>
            <w:tcBorders>
              <w:top w:val="single" w:color="auto" w:sz="8" w:space="0"/>
              <w:left w:val="single" w:color="auto" w:sz="4" w:space="0"/>
              <w:bottom w:val="single" w:color="auto" w:sz="8" w:space="0"/>
              <w:right w:val="single" w:color="auto" w:sz="8" w:space="0"/>
            </w:tcBorders>
            <w:vAlign w:val="center"/>
          </w:tcPr>
          <w:p w14:paraId="252A73F9">
            <w:pPr>
              <w:pStyle w:val="180"/>
            </w:pPr>
            <w:r>
              <w:rPr>
                <w:rFonts w:hint="eastAsia"/>
              </w:rPr>
              <w:t>发育程度分级</w:t>
            </w:r>
          </w:p>
        </w:tc>
      </w:tr>
      <w:tr w14:paraId="5625DD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8" w:space="0"/>
              <w:left w:val="single" w:color="auto" w:sz="8" w:space="0"/>
              <w:bottom w:val="single" w:color="auto" w:sz="4" w:space="0"/>
              <w:right w:val="single" w:color="auto" w:sz="4" w:space="0"/>
            </w:tcBorders>
            <w:vAlign w:val="center"/>
          </w:tcPr>
          <w:p w14:paraId="3BEC1A48">
            <w:pPr>
              <w:pStyle w:val="180"/>
            </w:pPr>
          </w:p>
        </w:tc>
        <w:tc>
          <w:tcPr>
            <w:tcW w:w="2333" w:type="dxa"/>
            <w:tcBorders>
              <w:top w:val="single" w:color="auto" w:sz="8" w:space="0"/>
              <w:left w:val="single" w:color="auto" w:sz="4" w:space="0"/>
              <w:bottom w:val="single" w:color="auto" w:sz="4" w:space="0"/>
              <w:right w:val="single" w:color="auto" w:sz="4" w:space="0"/>
            </w:tcBorders>
            <w:vAlign w:val="center"/>
          </w:tcPr>
          <w:p w14:paraId="6BB902E3">
            <w:pPr>
              <w:pStyle w:val="180"/>
            </w:pPr>
            <w:r>
              <w:rPr>
                <w:rFonts w:hint="eastAsia"/>
              </w:rPr>
              <w:t>发育程度强</w:t>
            </w:r>
          </w:p>
        </w:tc>
        <w:tc>
          <w:tcPr>
            <w:tcW w:w="2333" w:type="dxa"/>
            <w:tcBorders>
              <w:top w:val="single" w:color="auto" w:sz="8" w:space="0"/>
              <w:left w:val="single" w:color="auto" w:sz="4" w:space="0"/>
              <w:bottom w:val="single" w:color="auto" w:sz="4" w:space="0"/>
              <w:right w:val="single" w:color="auto" w:sz="4" w:space="0"/>
            </w:tcBorders>
            <w:vAlign w:val="center"/>
          </w:tcPr>
          <w:p w14:paraId="33B0AA4A">
            <w:pPr>
              <w:pStyle w:val="180"/>
            </w:pPr>
            <w:r>
              <w:t>发育程度中等</w:t>
            </w:r>
          </w:p>
        </w:tc>
        <w:tc>
          <w:tcPr>
            <w:tcW w:w="2334" w:type="dxa"/>
            <w:tcBorders>
              <w:top w:val="single" w:color="auto" w:sz="8" w:space="0"/>
              <w:left w:val="single" w:color="auto" w:sz="4" w:space="0"/>
              <w:bottom w:val="single" w:color="auto" w:sz="4" w:space="0"/>
              <w:right w:val="single" w:color="auto" w:sz="8" w:space="0"/>
            </w:tcBorders>
            <w:vAlign w:val="center"/>
          </w:tcPr>
          <w:p w14:paraId="1B819B0C">
            <w:pPr>
              <w:pStyle w:val="180"/>
            </w:pPr>
            <w:r>
              <w:rPr>
                <w:rFonts w:hint="eastAsia"/>
              </w:rPr>
              <w:t>发育程度强</w:t>
            </w:r>
          </w:p>
        </w:tc>
      </w:tr>
      <w:tr w14:paraId="15339B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tcBorders>
              <w:top w:val="single" w:color="auto" w:sz="4" w:space="0"/>
              <w:left w:val="single" w:color="auto" w:sz="8" w:space="0"/>
              <w:bottom w:val="single" w:color="auto" w:sz="4" w:space="0"/>
              <w:right w:val="single" w:color="auto" w:sz="4" w:space="0"/>
            </w:tcBorders>
            <w:vAlign w:val="center"/>
          </w:tcPr>
          <w:p w14:paraId="05B8BFAF">
            <w:pPr>
              <w:pStyle w:val="180"/>
            </w:pPr>
            <w:r>
              <w:rPr>
                <w:rFonts w:hint="eastAsia"/>
              </w:rPr>
              <w:t>近5年年均沉降量 /（mm/a）</w:t>
            </w:r>
          </w:p>
        </w:tc>
        <w:tc>
          <w:tcPr>
            <w:tcW w:w="2333" w:type="dxa"/>
            <w:tcBorders>
              <w:top w:val="single" w:color="auto" w:sz="4" w:space="0"/>
              <w:left w:val="single" w:color="auto" w:sz="4" w:space="0"/>
              <w:bottom w:val="single" w:color="auto" w:sz="4" w:space="0"/>
              <w:right w:val="single" w:color="auto" w:sz="4" w:space="0"/>
            </w:tcBorders>
            <w:vAlign w:val="center"/>
          </w:tcPr>
          <w:p w14:paraId="1B9E4124">
            <w:pPr>
              <w:pStyle w:val="180"/>
            </w:pPr>
            <w:r>
              <w:rPr>
                <w:rFonts w:hint="eastAsia"/>
              </w:rPr>
              <w:t>≥30</w:t>
            </w:r>
          </w:p>
        </w:tc>
        <w:tc>
          <w:tcPr>
            <w:tcW w:w="2333" w:type="dxa"/>
            <w:tcBorders>
              <w:top w:val="single" w:color="auto" w:sz="4" w:space="0"/>
              <w:left w:val="single" w:color="auto" w:sz="4" w:space="0"/>
              <w:bottom w:val="single" w:color="auto" w:sz="4" w:space="0"/>
              <w:right w:val="single" w:color="auto" w:sz="4" w:space="0"/>
            </w:tcBorders>
            <w:vAlign w:val="center"/>
          </w:tcPr>
          <w:p w14:paraId="2135CE22">
            <w:pPr>
              <w:pStyle w:val="180"/>
            </w:pPr>
            <w:r>
              <w:rPr>
                <w:rFonts w:hint="eastAsia"/>
              </w:rPr>
              <w:t>10～30</w:t>
            </w:r>
          </w:p>
        </w:tc>
        <w:tc>
          <w:tcPr>
            <w:tcW w:w="2334" w:type="dxa"/>
            <w:tcBorders>
              <w:top w:val="single" w:color="auto" w:sz="4" w:space="0"/>
              <w:left w:val="single" w:color="auto" w:sz="4" w:space="0"/>
              <w:bottom w:val="single" w:color="auto" w:sz="4" w:space="0"/>
              <w:right w:val="single" w:color="auto" w:sz="8" w:space="0"/>
            </w:tcBorders>
            <w:vAlign w:val="center"/>
          </w:tcPr>
          <w:p w14:paraId="2831AFD7">
            <w:pPr>
              <w:pStyle w:val="180"/>
            </w:pPr>
            <w:r>
              <w:rPr>
                <w:rFonts w:hint="eastAsia"/>
              </w:rPr>
              <w:t>≤10</w:t>
            </w:r>
          </w:p>
        </w:tc>
      </w:tr>
      <w:tr w14:paraId="45BADC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tcBorders>
              <w:top w:val="single" w:color="auto" w:sz="4" w:space="0"/>
              <w:left w:val="single" w:color="auto" w:sz="8" w:space="0"/>
              <w:bottom w:val="single" w:color="auto" w:sz="8" w:space="0"/>
              <w:right w:val="single" w:color="auto" w:sz="4" w:space="0"/>
            </w:tcBorders>
            <w:vAlign w:val="center"/>
          </w:tcPr>
          <w:p w14:paraId="77E179E1">
            <w:pPr>
              <w:pStyle w:val="180"/>
            </w:pPr>
            <w:r>
              <w:rPr>
                <w:rFonts w:hint="eastAsia"/>
              </w:rPr>
              <w:t>累积沉降量 /mm</w:t>
            </w:r>
          </w:p>
        </w:tc>
        <w:tc>
          <w:tcPr>
            <w:tcW w:w="2333" w:type="dxa"/>
            <w:tcBorders>
              <w:top w:val="single" w:color="auto" w:sz="4" w:space="0"/>
              <w:left w:val="single" w:color="auto" w:sz="4" w:space="0"/>
              <w:bottom w:val="single" w:color="auto" w:sz="8" w:space="0"/>
              <w:right w:val="single" w:color="auto" w:sz="4" w:space="0"/>
            </w:tcBorders>
            <w:vAlign w:val="center"/>
          </w:tcPr>
          <w:p w14:paraId="200D9AA9">
            <w:pPr>
              <w:pStyle w:val="180"/>
            </w:pPr>
            <w:r>
              <w:rPr>
                <w:rFonts w:hint="eastAsia"/>
              </w:rPr>
              <w:t>≥800</w:t>
            </w:r>
          </w:p>
        </w:tc>
        <w:tc>
          <w:tcPr>
            <w:tcW w:w="2333" w:type="dxa"/>
            <w:tcBorders>
              <w:top w:val="single" w:color="auto" w:sz="4" w:space="0"/>
              <w:left w:val="single" w:color="auto" w:sz="4" w:space="0"/>
              <w:bottom w:val="single" w:color="auto" w:sz="8" w:space="0"/>
              <w:right w:val="single" w:color="auto" w:sz="4" w:space="0"/>
            </w:tcBorders>
            <w:vAlign w:val="center"/>
          </w:tcPr>
          <w:p w14:paraId="44F30ADA">
            <w:pPr>
              <w:pStyle w:val="180"/>
            </w:pPr>
            <w:r>
              <w:rPr>
                <w:rFonts w:hint="eastAsia"/>
              </w:rPr>
              <w:t>300～800</w:t>
            </w:r>
          </w:p>
        </w:tc>
        <w:tc>
          <w:tcPr>
            <w:tcW w:w="2334" w:type="dxa"/>
            <w:tcBorders>
              <w:top w:val="single" w:color="auto" w:sz="4" w:space="0"/>
              <w:left w:val="single" w:color="auto" w:sz="4" w:space="0"/>
              <w:bottom w:val="single" w:color="auto" w:sz="8" w:space="0"/>
              <w:right w:val="single" w:color="auto" w:sz="8" w:space="0"/>
            </w:tcBorders>
            <w:vAlign w:val="center"/>
          </w:tcPr>
          <w:p w14:paraId="3AF435A5">
            <w:pPr>
              <w:pStyle w:val="180"/>
            </w:pPr>
            <w:r>
              <w:rPr>
                <w:rFonts w:hint="eastAsia"/>
              </w:rPr>
              <w:t>≤300</w:t>
            </w:r>
          </w:p>
        </w:tc>
      </w:tr>
      <w:tr w14:paraId="2624E4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46" w:hRule="atLeast"/>
          <w:jc w:val="center"/>
        </w:trPr>
        <w:tc>
          <w:tcPr>
            <w:tcW w:w="9334" w:type="dxa"/>
            <w:gridSpan w:val="4"/>
            <w:tcBorders>
              <w:top w:val="single" w:color="auto" w:sz="4" w:space="0"/>
              <w:left w:val="single" w:color="auto" w:sz="8" w:space="0"/>
            </w:tcBorders>
            <w:vAlign w:val="center"/>
          </w:tcPr>
          <w:p w14:paraId="153EDE87">
            <w:pPr>
              <w:pStyle w:val="182"/>
              <w:numPr>
                <w:ilvl w:val="0"/>
                <w:numId w:val="43"/>
              </w:numPr>
            </w:pPr>
            <w:r>
              <w:t>累积沉降量可采用有地面沉降监测记录以来的累计沉降量</w:t>
            </w:r>
            <w:r>
              <w:rPr>
                <w:rFonts w:hint="eastAsia"/>
              </w:rPr>
              <w:t>；</w:t>
            </w:r>
          </w:p>
          <w:p w14:paraId="1C578BA5">
            <w:pPr>
              <w:pStyle w:val="182"/>
              <w:numPr>
                <w:ilvl w:val="0"/>
                <w:numId w:val="43"/>
              </w:numPr>
            </w:pPr>
            <w:r>
              <w:t>分级时上述二项要素满足一项即可，并按照强到弱顺序确定</w:t>
            </w:r>
            <w:r>
              <w:rPr>
                <w:rFonts w:hint="eastAsia"/>
              </w:rPr>
              <w:t>；</w:t>
            </w:r>
          </w:p>
          <w:p w14:paraId="2640FC89">
            <w:pPr>
              <w:pStyle w:val="182"/>
            </w:pPr>
            <w:r>
              <w:rPr>
                <w:rFonts w:hint="eastAsia"/>
              </w:rPr>
              <w:t>如累计沉降量不符合评价区实际情况，可自行设置数值区间。</w:t>
            </w:r>
          </w:p>
        </w:tc>
      </w:tr>
    </w:tbl>
    <w:p w14:paraId="32B6CC89">
      <w:pPr>
        <w:pStyle w:val="166"/>
      </w:pPr>
      <w:r>
        <w:rPr>
          <w:rFonts w:hint="eastAsia"/>
        </w:rPr>
        <w:t>危险性评价应根据评价区特点选择合适的评价因子，宜采用加权综合评价模型，其中各因子权重宜通过层次分析法确定，采用加权综合评价模型，按照公式（3）计算危险性指数。根据计算结果，宜将危险性划分为极高、高、中和低四个级别。</w:t>
      </w:r>
    </w:p>
    <w:p w14:paraId="7E91DBA5">
      <w:pPr>
        <w:pStyle w:val="115"/>
      </w:pPr>
      <w:r>
        <w:rPr>
          <w:rFonts w:hint="eastAsia"/>
        </w:rPr>
        <w:tab/>
      </w:r>
      <m:oMath>
        <m:r>
          <m:rPr/>
          <w:rPr>
            <w:rFonts w:ascii="Cambria Math" w:hAnsi="Cambria Math"/>
          </w:rPr>
          <m:t>H</m:t>
        </m:r>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i</m:t>
            </m:r>
            <m:ctrlPr>
              <w:rPr>
                <w:rFonts w:ascii="Cambria Math" w:hAnsi="Cambria Math"/>
              </w:rPr>
            </m:ctrlPr>
          </m:sub>
        </m:sSub>
        <m:sSub>
          <m:sSubPr>
            <m:ctrlPr>
              <w:rPr>
                <w:rFonts w:ascii="Cambria Math" w:hAnsi="Cambria Math"/>
                <w:i/>
              </w:rPr>
            </m:ctrlPr>
          </m:sSubPr>
          <m:e>
            <m:r>
              <m:rPr/>
              <w:rPr>
                <w:rFonts w:ascii="Cambria Math" w:hAnsi="Cambria Math"/>
              </w:rPr>
              <m:t>β</m:t>
            </m:r>
            <m:ctrlPr>
              <w:rPr>
                <w:rFonts w:ascii="Cambria Math" w:hAnsi="Cambria Math"/>
                <w:i/>
              </w:rPr>
            </m:ctrlPr>
          </m:e>
          <m:sub>
            <m:r>
              <m:rPr/>
              <w:rPr>
                <w:rFonts w:ascii="Cambria Math" w:hAnsi="Cambria Math"/>
              </w:rPr>
              <m:t>i</m:t>
            </m:r>
            <m:ctrlPr>
              <w:rPr>
                <w:rFonts w:ascii="Cambria Math" w:hAnsi="Cambria Math"/>
                <w:i/>
              </w:rPr>
            </m:ctrlPr>
          </m:sub>
        </m:sSub>
        <m:r>
          <m:rPr>
            <m:sty m:val="p"/>
          </m:rPr>
          <w:rPr>
            <w:rFonts w:hint="eastAsia" w:ascii="Cambria Math" w:hAnsi="Cambria Math"/>
          </w:rPr>
          <m:t xml:space="preserve"> </m:t>
        </m:r>
      </m:oMath>
      <w:r>
        <w:rPr>
          <w:rFonts w:hint="eastAsia" w:ascii="微软雅黑" w:hAnsi="微软雅黑" w:eastAsia="微软雅黑"/>
        </w:rPr>
        <w:tab/>
      </w:r>
      <w:r>
        <w:t>(</w:t>
      </w:r>
      <w:r>
        <w:fldChar w:fldCharType="begin"/>
      </w:r>
      <w:r>
        <w:instrText xml:space="preserve"> AUTONUM </w:instrText>
      </w:r>
      <w:r>
        <w:fldChar w:fldCharType="end"/>
      </w:r>
      <w:r>
        <w:t>)</w:t>
      </w:r>
    </w:p>
    <w:p w14:paraId="4234BC6E">
      <w:pPr>
        <w:pStyle w:val="57"/>
        <w:ind w:firstLine="420"/>
      </w:pPr>
      <w:r>
        <w:rPr>
          <w:rFonts w:hint="eastAsia"/>
        </w:rPr>
        <w:t>式中：</w:t>
      </w:r>
    </w:p>
    <w:p w14:paraId="42AEAAE5">
      <w:pPr>
        <w:pStyle w:val="58"/>
        <w:ind w:firstLine="420"/>
      </w:pPr>
      <w:r>
        <w:rPr>
          <w:rFonts w:hint="eastAsia"/>
        </w:rPr>
        <w:t>H  ——危险性指数；</w:t>
      </w:r>
    </w:p>
    <w:p w14:paraId="41DEF13A">
      <w:pPr>
        <w:pStyle w:val="58"/>
        <w:ind w:firstLine="420"/>
      </w:pPr>
      <w:r>
        <w:rPr>
          <w:rFonts w:hint="eastAsia"/>
        </w:rPr>
        <w:t>α</w:t>
      </w:r>
      <w:r>
        <w:rPr>
          <w:rFonts w:hint="eastAsia"/>
          <w:vertAlign w:val="subscript"/>
        </w:rPr>
        <w:t>i</w:t>
      </w:r>
      <w:r>
        <w:rPr>
          <w:rFonts w:hint="eastAsia"/>
        </w:rPr>
        <w:t xml:space="preserve"> ——第 i 个评价因子权重；</w:t>
      </w:r>
    </w:p>
    <w:p w14:paraId="7311DEB5">
      <w:pPr>
        <w:pStyle w:val="58"/>
        <w:ind w:firstLine="420"/>
      </w:pPr>
      <w:r>
        <w:rPr>
          <w:rFonts w:hint="eastAsia"/>
        </w:rPr>
        <w:t>β</w:t>
      </w:r>
      <w:r>
        <w:rPr>
          <w:rFonts w:hint="eastAsia"/>
          <w:vertAlign w:val="subscript"/>
        </w:rPr>
        <w:t>i</w:t>
      </w:r>
      <w:r>
        <w:rPr>
          <w:rFonts w:hint="eastAsia"/>
        </w:rPr>
        <w:t xml:space="preserve"> ——第 i 个评价因子等级分值。</w:t>
      </w:r>
    </w:p>
    <w:p w14:paraId="2701F606">
      <w:pPr>
        <w:pStyle w:val="67"/>
        <w:spacing w:before="156" w:after="156"/>
      </w:pPr>
      <w:bookmarkStart w:id="198" w:name="_Toc176194138"/>
      <w:bookmarkStart w:id="199" w:name="_Toc178172342"/>
      <w:r>
        <w:rPr>
          <w:rFonts w:hint="eastAsia"/>
        </w:rPr>
        <w:t>地面沉降易损性评价</w:t>
      </w:r>
      <w:bookmarkEnd w:id="198"/>
      <w:bookmarkEnd w:id="199"/>
    </w:p>
    <w:p w14:paraId="0BAC7BB6">
      <w:pPr>
        <w:pStyle w:val="166"/>
      </w:pPr>
      <w:r>
        <w:rPr>
          <w:rFonts w:hint="eastAsia"/>
        </w:rPr>
        <w:t>人口密度：应根据区域内的人口资料，按人口密度（万人每平方千米）分区，宜划分为极高、高、中、低四个级别。</w:t>
      </w:r>
    </w:p>
    <w:p w14:paraId="7312A9CA">
      <w:pPr>
        <w:pStyle w:val="166"/>
      </w:pPr>
      <w:r>
        <w:rPr>
          <w:rFonts w:hint="eastAsia"/>
        </w:rPr>
        <w:t>单位面积 GDP：应根据区域内的人口资料，按人口密度（万人每平方千米）分区，宜划分极高、高、中和低四个级别。</w:t>
      </w:r>
    </w:p>
    <w:p w14:paraId="2E08AA53">
      <w:pPr>
        <w:pStyle w:val="166"/>
      </w:pPr>
      <w:r>
        <w:rPr>
          <w:rFonts w:hint="eastAsia"/>
        </w:rPr>
        <w:t>建设用地比重：应根据区域内的建设用地数据资料，按建设用地比重（%）分级，宜划分为极高、高、中和低四个级别。</w:t>
      </w:r>
    </w:p>
    <w:p w14:paraId="1D7AFEA8">
      <w:pPr>
        <w:pStyle w:val="166"/>
      </w:pPr>
      <w:r>
        <w:rPr>
          <w:rFonts w:hint="eastAsia"/>
        </w:rPr>
        <w:t>线性工程密度：应根据区域内重要线性工程的实际分布情况，按单位面积线性工程密度（km/km2）分区，宜划分为极高、高、中和低四个级别。</w:t>
      </w:r>
    </w:p>
    <w:p w14:paraId="128837F8">
      <w:pPr>
        <w:pStyle w:val="166"/>
      </w:pPr>
      <w:r>
        <w:rPr>
          <w:rFonts w:hint="eastAsia"/>
        </w:rPr>
        <w:t>地下空间密度：应根据地下交通空间、地下市政工程、地下商场、地下公共服务空间、地下物流空间、地下防治减灾空间等实际分布情况，按照地下空间面积占比（%）分级，宜划分为极高、高、中和低四个级别。</w:t>
      </w:r>
    </w:p>
    <w:p w14:paraId="0ED7DCC5">
      <w:pPr>
        <w:pStyle w:val="166"/>
      </w:pPr>
      <w:r>
        <w:rPr>
          <w:rFonts w:hint="eastAsia"/>
        </w:rPr>
        <w:t>地面高程：应根据区域内实测地面高程数据，将地面高程按照相对大小与影响程度进行分级，，宜划分为极高、高、中和低四个级别，地面高程为负向指标，级别越高，易损性越低。</w:t>
      </w:r>
    </w:p>
    <w:p w14:paraId="3EE0E8A2">
      <w:pPr>
        <w:pStyle w:val="166"/>
      </w:pPr>
      <w:r>
        <w:rPr>
          <w:rFonts w:hint="eastAsia"/>
        </w:rPr>
        <w:t>易损性评价应根据评价区特点选择合适的评价因子，宜采用加权综合评价模型，其中各因子权重宜通过层次分析法确定，按照公式（4）计算易损性指数。根据计算结果，宜将易损性划分极高、高、中和低四个级别。</w:t>
      </w:r>
    </w:p>
    <w:p w14:paraId="5DF204FC">
      <w:pPr>
        <w:pStyle w:val="115"/>
      </w:pPr>
      <w:r>
        <w:rPr>
          <w:rFonts w:hint="eastAsia"/>
        </w:rPr>
        <w:tab/>
      </w:r>
      <m:oMath>
        <m:r>
          <m:rPr/>
          <w:rPr>
            <w:rFonts w:ascii="Cambria Math" w:hAnsi="Cambria Math"/>
          </w:rPr>
          <m:t>V</m:t>
        </m:r>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i</m:t>
            </m:r>
            <m:ctrlPr>
              <w:rPr>
                <w:rFonts w:ascii="Cambria Math" w:hAnsi="Cambria Math"/>
              </w:rPr>
            </m:ctrlPr>
          </m:sub>
        </m:sSub>
        <m:sSub>
          <m:sSubPr>
            <m:ctrlPr>
              <w:rPr>
                <w:rFonts w:ascii="Cambria Math" w:hAnsi="Cambria Math"/>
                <w:i/>
              </w:rPr>
            </m:ctrlPr>
          </m:sSubPr>
          <m:e>
            <m:r>
              <m:rPr/>
              <w:rPr>
                <w:rFonts w:ascii="Cambria Math" w:hAnsi="Cambria Math"/>
              </w:rPr>
              <m:t>β</m:t>
            </m:r>
            <m:ctrlPr>
              <w:rPr>
                <w:rFonts w:ascii="Cambria Math" w:hAnsi="Cambria Math"/>
                <w:i/>
              </w:rPr>
            </m:ctrlPr>
          </m:e>
          <m:sub>
            <m:r>
              <m:rPr/>
              <w:rPr>
                <w:rFonts w:ascii="Cambria Math" w:hAnsi="Cambria Math"/>
              </w:rPr>
              <m:t>i</m:t>
            </m:r>
            <m:ctrlPr>
              <w:rPr>
                <w:rFonts w:ascii="Cambria Math" w:hAnsi="Cambria Math"/>
                <w:i/>
              </w:rPr>
            </m:ctrlPr>
          </m:sub>
        </m:sSub>
        <m:r>
          <m:rPr>
            <m:sty m:val="p"/>
          </m:rPr>
          <w:rPr>
            <w:rFonts w:hint="eastAsia" w:ascii="Cambria Math" w:hAnsi="Cambria Math"/>
          </w:rPr>
          <m:t xml:space="preserve"> </m:t>
        </m:r>
      </m:oMath>
      <w:r>
        <w:rPr>
          <w:rFonts w:hint="eastAsia" w:ascii="微软雅黑" w:hAnsi="微软雅黑" w:eastAsia="微软雅黑"/>
        </w:rPr>
        <w:tab/>
      </w:r>
      <w:r>
        <w:t>(</w:t>
      </w:r>
      <w:r>
        <w:fldChar w:fldCharType="begin"/>
      </w:r>
      <w:r>
        <w:instrText xml:space="preserve"> AUTONUM </w:instrText>
      </w:r>
      <w:r>
        <w:fldChar w:fldCharType="end"/>
      </w:r>
      <w:r>
        <w:t>)</w:t>
      </w:r>
    </w:p>
    <w:p w14:paraId="76CD012E">
      <w:pPr>
        <w:pStyle w:val="57"/>
        <w:ind w:firstLine="420"/>
      </w:pPr>
      <w:r>
        <w:rPr>
          <w:rFonts w:hint="eastAsia"/>
        </w:rPr>
        <w:t>式中：</w:t>
      </w:r>
    </w:p>
    <w:p w14:paraId="54E051D7">
      <w:pPr>
        <w:pStyle w:val="58"/>
        <w:ind w:firstLine="420"/>
      </w:pPr>
      <w:r>
        <w:rPr>
          <w:rFonts w:hint="eastAsia"/>
        </w:rPr>
        <w:t>V ——易损性指数；</w:t>
      </w:r>
    </w:p>
    <w:p w14:paraId="3CB08371">
      <w:pPr>
        <w:pStyle w:val="58"/>
        <w:ind w:firstLine="420"/>
      </w:pPr>
      <w:r>
        <w:rPr>
          <w:rFonts w:hint="eastAsia"/>
        </w:rPr>
        <w:t>α</w:t>
      </w:r>
      <w:r>
        <w:rPr>
          <w:rFonts w:hint="eastAsia"/>
          <w:vertAlign w:val="subscript"/>
        </w:rPr>
        <w:t>i</w:t>
      </w:r>
      <w:r>
        <w:rPr>
          <w:rFonts w:hint="eastAsia"/>
        </w:rPr>
        <w:t xml:space="preserve"> ——第 i 个评价因子权重；</w:t>
      </w:r>
    </w:p>
    <w:p w14:paraId="5AAF53D3">
      <w:pPr>
        <w:pStyle w:val="58"/>
        <w:ind w:firstLine="420"/>
      </w:pPr>
      <w:r>
        <w:rPr>
          <w:rFonts w:hint="eastAsia"/>
        </w:rPr>
        <w:t>β</w:t>
      </w:r>
      <w:r>
        <w:rPr>
          <w:rFonts w:hint="eastAsia"/>
          <w:vertAlign w:val="subscript"/>
        </w:rPr>
        <w:t>i</w:t>
      </w:r>
      <w:r>
        <w:rPr>
          <w:rFonts w:hint="eastAsia"/>
        </w:rPr>
        <w:t xml:space="preserve"> ——第 i 个评价因子等级分值。</w:t>
      </w:r>
    </w:p>
    <w:p w14:paraId="2C2F8E65">
      <w:pPr>
        <w:pStyle w:val="67"/>
        <w:spacing w:before="156" w:after="156"/>
      </w:pPr>
      <w:bookmarkStart w:id="200" w:name="_Toc176194139"/>
      <w:bookmarkStart w:id="201" w:name="_Toc178172343"/>
      <w:r>
        <w:rPr>
          <w:rFonts w:hint="eastAsia"/>
        </w:rPr>
        <w:t>防灾减灾能力评价</w:t>
      </w:r>
      <w:bookmarkEnd w:id="200"/>
      <w:bookmarkEnd w:id="201"/>
    </w:p>
    <w:p w14:paraId="206C913C">
      <w:pPr>
        <w:pStyle w:val="166"/>
      </w:pPr>
      <w:r>
        <w:rPr>
          <w:rFonts w:hint="eastAsia"/>
        </w:rPr>
        <w:t>地面沉降监测网密度：应根据区域内基岩标、分层标、水准点、全球导航卫星系统（GNSS）点、地下水位监测井等类型监测设施的数量，按密度（个/100km2）相对大小进行分级，宜划分为极高、高、中和低四个级别。</w:t>
      </w:r>
    </w:p>
    <w:p w14:paraId="000C6193">
      <w:pPr>
        <w:pStyle w:val="166"/>
      </w:pPr>
      <w:r>
        <w:rPr>
          <w:rFonts w:hint="eastAsia"/>
        </w:rPr>
        <w:t>地下水压采量占开采量比重：应根据地下水压采量和开采量实际资料，按地下水压采量占开采量比重（%）相对大小进行分级，宜划分为极高、高、中和低四个级别。</w:t>
      </w:r>
    </w:p>
    <w:p w14:paraId="01581D8B">
      <w:pPr>
        <w:pStyle w:val="166"/>
      </w:pPr>
      <w:r>
        <w:rPr>
          <w:rFonts w:hint="eastAsia"/>
        </w:rPr>
        <w:t>防灾减灾能力评价应根据评价区特点选择合适的评价因子，宜采用加权综合评价模型，其中各因子权重宜通过层次分析法确定，按照公式（5）计算防灾减灾能力指数。根据计算结果，宜将防灾减灾能力划分为极高、高、中和低四个级别。</w:t>
      </w:r>
    </w:p>
    <w:p w14:paraId="5C8120A6">
      <w:pPr>
        <w:pStyle w:val="115"/>
      </w:pPr>
      <w:r>
        <w:rPr>
          <w:rFonts w:hint="eastAsia"/>
        </w:rPr>
        <w:tab/>
      </w:r>
      <m:oMath>
        <m:r>
          <m:rPr/>
          <w:rPr>
            <w:rFonts w:ascii="Cambria Math" w:hAnsi="Cambria Math"/>
          </w:rPr>
          <m:t>C</m:t>
        </m:r>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i</m:t>
            </m:r>
            <m:ctrlPr>
              <w:rPr>
                <w:rFonts w:ascii="Cambria Math" w:hAnsi="Cambria Math"/>
              </w:rPr>
            </m:ctrlPr>
          </m:sub>
        </m:sSub>
        <m:sSub>
          <m:sSubPr>
            <m:ctrlPr>
              <w:rPr>
                <w:rFonts w:ascii="Cambria Math" w:hAnsi="Cambria Math"/>
                <w:i/>
              </w:rPr>
            </m:ctrlPr>
          </m:sSubPr>
          <m:e>
            <m:r>
              <m:rPr/>
              <w:rPr>
                <w:rFonts w:ascii="Cambria Math" w:hAnsi="Cambria Math"/>
              </w:rPr>
              <m:t>β</m:t>
            </m:r>
            <m:ctrlPr>
              <w:rPr>
                <w:rFonts w:ascii="Cambria Math" w:hAnsi="Cambria Math"/>
                <w:i/>
              </w:rPr>
            </m:ctrlPr>
          </m:e>
          <m:sub>
            <m:r>
              <m:rPr/>
              <w:rPr>
                <w:rFonts w:ascii="Cambria Math" w:hAnsi="Cambria Math"/>
              </w:rPr>
              <m:t>i</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7A74AE2A">
      <w:pPr>
        <w:pStyle w:val="57"/>
        <w:ind w:firstLine="420"/>
      </w:pPr>
      <w:r>
        <w:rPr>
          <w:rFonts w:hint="eastAsia"/>
        </w:rPr>
        <w:t>式中：</w:t>
      </w:r>
    </w:p>
    <w:p w14:paraId="453ACDF6">
      <w:pPr>
        <w:pStyle w:val="58"/>
        <w:ind w:firstLine="420"/>
      </w:pPr>
      <w:r>
        <w:rPr>
          <w:rFonts w:hint="eastAsia"/>
        </w:rPr>
        <w:t>C   ——防灾减灾能力指数；</w:t>
      </w:r>
    </w:p>
    <w:p w14:paraId="7BFC3273">
      <w:pPr>
        <w:pStyle w:val="58"/>
        <w:ind w:firstLine="420"/>
      </w:pPr>
      <w:r>
        <w:rPr>
          <w:rFonts w:hint="eastAsia"/>
        </w:rPr>
        <w:t>α</w:t>
      </w:r>
      <w:r>
        <w:rPr>
          <w:rFonts w:hint="eastAsia"/>
          <w:vertAlign w:val="subscript"/>
        </w:rPr>
        <w:t>i</w:t>
      </w:r>
      <w:r>
        <w:rPr>
          <w:rFonts w:hint="eastAsia"/>
        </w:rPr>
        <w:t xml:space="preserve"> ——第 i 个评价因子权重；</w:t>
      </w:r>
    </w:p>
    <w:p w14:paraId="15286F0D">
      <w:pPr>
        <w:pStyle w:val="58"/>
        <w:ind w:firstLine="420"/>
      </w:pPr>
      <w:r>
        <w:rPr>
          <w:rFonts w:hint="eastAsia"/>
        </w:rPr>
        <w:t>β</w:t>
      </w:r>
      <w:r>
        <w:rPr>
          <w:rFonts w:hint="eastAsia"/>
          <w:vertAlign w:val="subscript"/>
        </w:rPr>
        <w:t>i</w:t>
      </w:r>
      <w:r>
        <w:rPr>
          <w:rFonts w:hint="eastAsia"/>
        </w:rPr>
        <w:t xml:space="preserve"> ——第 i 个评价因子等级分值。</w:t>
      </w:r>
    </w:p>
    <w:p w14:paraId="1756707A">
      <w:pPr>
        <w:pStyle w:val="67"/>
        <w:spacing w:before="156" w:after="156"/>
      </w:pPr>
      <w:bookmarkStart w:id="202" w:name="_Toc176194140"/>
      <w:bookmarkStart w:id="203" w:name="_Toc178172344"/>
      <w:r>
        <w:rPr>
          <w:rFonts w:hint="eastAsia"/>
        </w:rPr>
        <w:t>风险评价与分区</w:t>
      </w:r>
      <w:bookmarkEnd w:id="202"/>
      <w:bookmarkEnd w:id="203"/>
    </w:p>
    <w:p w14:paraId="3FE85921">
      <w:pPr>
        <w:pStyle w:val="166"/>
      </w:pPr>
      <w:r>
        <w:rPr>
          <w:rFonts w:hint="eastAsia"/>
        </w:rPr>
        <w:t>利用公式（6）计算地面沉降风险指数。根据计算结果，确定分级标准，宜将地面沉降风险划分为极高、高、中和低四个级别。</w:t>
      </w:r>
    </w:p>
    <w:p w14:paraId="6CF4A274">
      <w:pPr>
        <w:pStyle w:val="166"/>
      </w:pPr>
      <w:r>
        <w:rPr>
          <w:rFonts w:hint="eastAsia"/>
        </w:rPr>
        <w:t>根据地面沉降风险指数，合并风险等级相同的评价单元，划分地面沉降风险分区。</w:t>
      </w:r>
    </w:p>
    <w:p w14:paraId="16289E25">
      <w:pPr>
        <w:pStyle w:val="115"/>
      </w:pPr>
      <w:r>
        <w:rPr>
          <w:rFonts w:hint="eastAsia"/>
        </w:rPr>
        <w:tab/>
      </w:r>
      <m:oMath>
        <m:r>
          <m:rPr/>
          <w:rPr>
            <w:rStyle w:val="188"/>
            <w:rFonts w:ascii="Cambria Math" w:hAnsi="Cambria Math"/>
            <w:color w:val="000000" w:themeColor="text1"/>
            <w14:textFill>
              <w14:solidFill>
                <w14:schemeClr w14:val="tx1"/>
              </w14:solidFill>
            </w14:textFill>
          </w:rPr>
          <m:t>R=H×V×(1−αC)</m:t>
        </m:r>
      </m:oMath>
      <w:r>
        <w:rPr>
          <w:rFonts w:hint="eastAsia" w:ascii="微软雅黑" w:hAnsi="微软雅黑" w:eastAsia="微软雅黑"/>
        </w:rPr>
        <w:tab/>
      </w:r>
      <w:r>
        <w:t>(</w:t>
      </w:r>
      <w:r>
        <w:fldChar w:fldCharType="begin"/>
      </w:r>
      <w:r>
        <w:instrText xml:space="preserve"> AUTONUM </w:instrText>
      </w:r>
      <w:r>
        <w:fldChar w:fldCharType="end"/>
      </w:r>
      <w:r>
        <w:t>)</w:t>
      </w:r>
    </w:p>
    <w:p w14:paraId="59533536">
      <w:pPr>
        <w:pStyle w:val="57"/>
        <w:ind w:firstLine="420"/>
      </w:pPr>
      <w:r>
        <w:rPr>
          <w:rFonts w:hint="eastAsia"/>
        </w:rPr>
        <w:t>式中：</w:t>
      </w:r>
    </w:p>
    <w:p w14:paraId="29FD038A">
      <w:pPr>
        <w:pStyle w:val="58"/>
        <w:ind w:firstLine="420"/>
      </w:pPr>
      <w:r>
        <w:rPr>
          <w:rFonts w:hint="eastAsia"/>
        </w:rPr>
        <w:t>α——防灾减灾效果系数，取值范围为0～1，根据地区经验取值。</w:t>
      </w:r>
    </w:p>
    <w:p w14:paraId="007A7490">
      <w:pPr>
        <w:pStyle w:val="107"/>
        <w:spacing w:before="156" w:after="156"/>
      </w:pPr>
      <w:bookmarkStart w:id="204" w:name="_Toc176194141"/>
      <w:bookmarkStart w:id="205" w:name="_Toc178172345"/>
      <w:r>
        <w:rPr>
          <w:rFonts w:hint="eastAsia"/>
        </w:rPr>
        <w:t>地裂缝风险评价</w:t>
      </w:r>
      <w:bookmarkEnd w:id="204"/>
      <w:bookmarkEnd w:id="205"/>
    </w:p>
    <w:p w14:paraId="543275D5">
      <w:pPr>
        <w:pStyle w:val="67"/>
        <w:spacing w:before="156" w:after="156"/>
      </w:pPr>
      <w:bookmarkStart w:id="206" w:name="_Toc178172346"/>
      <w:bookmarkStart w:id="207" w:name="_Toc176194142"/>
      <w:r>
        <w:rPr>
          <w:rFonts w:hint="eastAsia"/>
        </w:rPr>
        <w:t>地裂缝易发性评价</w:t>
      </w:r>
      <w:bookmarkEnd w:id="206"/>
      <w:bookmarkEnd w:id="207"/>
    </w:p>
    <w:p w14:paraId="1AC1FB02">
      <w:pPr>
        <w:pStyle w:val="166"/>
      </w:pPr>
      <w:r>
        <w:rPr>
          <w:rFonts w:hint="eastAsia"/>
        </w:rPr>
        <w:t>应在潜在发生地裂缝灾害的地区开展区域地裂缝易发性评价。</w:t>
      </w:r>
    </w:p>
    <w:p w14:paraId="1EC73101">
      <w:pPr>
        <w:pStyle w:val="166"/>
      </w:pPr>
      <w:r>
        <w:rPr>
          <w:rFonts w:hint="eastAsia"/>
        </w:rPr>
        <w:t>应根据地裂缝成因类型选择合适的评价因子，地裂缝易发性评价评价因子包括地形地貌、地层岩性、松散层厚度、地质构造、断裂活动性、地下水位高差以及地面沉降易发程度，各因子的权重及强度指数可按附录表 J.7 、表 J.8 取值。</w:t>
      </w:r>
    </w:p>
    <w:p w14:paraId="3A954799">
      <w:pPr>
        <w:pStyle w:val="166"/>
      </w:pPr>
      <w:r>
        <w:rPr>
          <w:rFonts w:hint="eastAsia"/>
        </w:rPr>
        <w:t>地裂缝易发性评价可采用公式（7）易发性指数E进行定量评价，可按附录表J.9分为高、中、低和不易发四个等级。</w:t>
      </w:r>
    </w:p>
    <w:p w14:paraId="0CB883CA">
      <w:pPr>
        <w:pStyle w:val="115"/>
      </w:pPr>
      <w:r>
        <w:rPr>
          <w:rFonts w:hint="eastAsia"/>
        </w:rPr>
        <w:tab/>
      </w:r>
      <m:oMath>
        <m:r>
          <m:rPr/>
          <w:rPr>
            <w:rFonts w:ascii="Cambria Math" w:hAnsi="Cambria Math"/>
          </w:rPr>
          <m:t>Y</m:t>
        </m:r>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rPr>
              <m:t>i</m:t>
            </m:r>
            <m:ctrlPr>
              <w:rPr>
                <w:rFonts w:ascii="Cambria Math" w:hAnsi="Cambria Math"/>
                <w:i/>
                <w:iCs/>
              </w:rPr>
            </m:ctrlPr>
          </m:sub>
        </m:sSub>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r>
          <m:rPr>
            <m:sty m:val="p"/>
          </m:rPr>
          <w:rPr>
            <w:rFonts w:hint="eastAsia" w:ascii="Cambria Math" w:hAnsi="Cambria Math"/>
          </w:rPr>
          <m:t xml:space="preserve"> </m:t>
        </m:r>
      </m:oMath>
      <w:r>
        <w:rPr>
          <w:rFonts w:hint="eastAsia" w:ascii="微软雅黑" w:hAnsi="微软雅黑" w:eastAsia="微软雅黑"/>
        </w:rPr>
        <w:tab/>
      </w:r>
      <w:r>
        <w:t>(</w:t>
      </w:r>
      <w:r>
        <w:fldChar w:fldCharType="begin"/>
      </w:r>
      <w:r>
        <w:instrText xml:space="preserve"> AUTONUM </w:instrText>
      </w:r>
      <w:r>
        <w:fldChar w:fldCharType="end"/>
      </w:r>
      <w:r>
        <w:t>)</w:t>
      </w:r>
    </w:p>
    <w:p w14:paraId="68FFCC28">
      <w:pPr>
        <w:pStyle w:val="57"/>
        <w:ind w:firstLine="420"/>
      </w:pPr>
      <w:r>
        <w:rPr>
          <w:rFonts w:hint="eastAsia"/>
        </w:rPr>
        <w:t>式中：</w:t>
      </w:r>
    </w:p>
    <w:p w14:paraId="2C05CA2F">
      <w:pPr>
        <w:pStyle w:val="58"/>
        <w:ind w:firstLine="420"/>
      </w:pPr>
      <w:r>
        <w:rPr>
          <w:rFonts w:hint="eastAsia"/>
        </w:rPr>
        <w:t>a</w:t>
      </w:r>
      <w:r>
        <w:rPr>
          <w:rFonts w:hint="eastAsia"/>
          <w:vertAlign w:val="subscript"/>
        </w:rPr>
        <w:t xml:space="preserve">i </w:t>
      </w:r>
      <w:r>
        <w:rPr>
          <w:rFonts w:hint="eastAsia"/>
        </w:rPr>
        <w:t>——评价因子 i 的权重，可根据评价因子的地区差异及其影响程度进行赋值和取舍；</w:t>
      </w:r>
    </w:p>
    <w:p w14:paraId="752A3A19">
      <w:pPr>
        <w:pStyle w:val="58"/>
        <w:ind w:firstLine="420"/>
      </w:pPr>
      <w:r>
        <w:rPr>
          <w:rFonts w:hint="eastAsia"/>
        </w:rPr>
        <w:t>X</w:t>
      </w:r>
      <w:r>
        <w:rPr>
          <w:rFonts w:hint="eastAsia"/>
          <w:vertAlign w:val="subscript"/>
        </w:rPr>
        <w:t xml:space="preserve">i </w:t>
      </w:r>
      <w:r>
        <w:rPr>
          <w:rFonts w:hint="eastAsia"/>
        </w:rPr>
        <w:t>——评价因子 i 的强度指数；</w:t>
      </w:r>
    </w:p>
    <w:p w14:paraId="6B6E2C1A">
      <w:pPr>
        <w:pStyle w:val="58"/>
        <w:ind w:firstLine="420"/>
      </w:pPr>
      <w:r>
        <w:rPr>
          <w:rFonts w:hint="eastAsia"/>
        </w:rPr>
        <w:t>n ——评价因子的个数。</w:t>
      </w:r>
    </w:p>
    <w:p w14:paraId="0A50E811">
      <w:pPr>
        <w:pStyle w:val="166"/>
      </w:pPr>
      <w:r>
        <w:rPr>
          <w:rFonts w:hint="eastAsia"/>
        </w:rPr>
        <w:t>地裂缝易发性也可基于确定性系数的多因子叠加确定权重法进行分区评价。模型可考虑基岩埋深、基岩坡度、累计地面沉降量、沉降梯度、地下水主采层厚度及厚度变化梯度、水位降深、第四纪沉积相等主要影响因素。</w:t>
      </w:r>
    </w:p>
    <w:p w14:paraId="546DF429">
      <w:pPr>
        <w:pStyle w:val="166"/>
      </w:pPr>
      <w:r>
        <w:rPr>
          <w:rFonts w:hint="eastAsia"/>
        </w:rPr>
        <w:t>根据各评价单元的易发性指数，按附录表 J.9 进行地裂缝易发程度综合分区。</w:t>
      </w:r>
    </w:p>
    <w:p w14:paraId="786331B7">
      <w:pPr>
        <w:pStyle w:val="67"/>
        <w:spacing w:before="156" w:after="156"/>
      </w:pPr>
      <w:bookmarkStart w:id="208" w:name="_Toc176194143"/>
      <w:bookmarkStart w:id="209" w:name="_Toc178172347"/>
      <w:r>
        <w:rPr>
          <w:rFonts w:hint="eastAsia"/>
        </w:rPr>
        <w:t>地裂缝危险性评价</w:t>
      </w:r>
      <w:bookmarkEnd w:id="208"/>
      <w:bookmarkEnd w:id="209"/>
    </w:p>
    <w:p w14:paraId="5C03ED7E">
      <w:pPr>
        <w:pStyle w:val="166"/>
      </w:pPr>
      <w:r>
        <w:rPr>
          <w:rFonts w:hint="eastAsia"/>
        </w:rPr>
        <w:t>地裂缝危险性评价分为单条地裂缝危险性评价和区域地裂缝危险性评价。</w:t>
      </w:r>
    </w:p>
    <w:p w14:paraId="1DBAD570">
      <w:pPr>
        <w:pStyle w:val="166"/>
      </w:pPr>
      <w:r>
        <w:rPr>
          <w:rFonts w:hint="eastAsia"/>
        </w:rPr>
        <w:t>单条地裂缝危险性评价因子宜包括地裂缝易发程度或地裂缝活动性、地下水位高差和地裂缝的相对位置，其定性评价可参照附录J.6执行。区域地裂缝危险性评价因子包括地裂缝易发程度或地裂缝活动性和地下水位高差。对已发生地裂缝，宜采用地裂缝活动性作为评价因子，其他情况宜采用易发程度作为评价因子。</w:t>
      </w:r>
    </w:p>
    <w:p w14:paraId="78989D68">
      <w:pPr>
        <w:pStyle w:val="166"/>
      </w:pPr>
      <w:r>
        <w:rPr>
          <w:rFonts w:hint="eastAsia"/>
        </w:rPr>
        <w:t>区域地裂缝危险性评价模型可以采用人工神经网络、层次分析法、灰色关联度法等方法，危险性评价结果划分为极高、高、中和低危险四个等级。</w:t>
      </w:r>
    </w:p>
    <w:p w14:paraId="1F95542D">
      <w:pPr>
        <w:pStyle w:val="67"/>
        <w:spacing w:before="156" w:after="156"/>
      </w:pPr>
      <w:bookmarkStart w:id="210" w:name="_Toc178172348"/>
      <w:bookmarkStart w:id="211" w:name="_Toc176194144"/>
      <w:r>
        <w:rPr>
          <w:rFonts w:hint="eastAsia"/>
        </w:rPr>
        <w:t>地裂缝易损性评价</w:t>
      </w:r>
      <w:bookmarkEnd w:id="210"/>
      <w:bookmarkEnd w:id="211"/>
    </w:p>
    <w:p w14:paraId="7079A159">
      <w:pPr>
        <w:pStyle w:val="166"/>
      </w:pPr>
      <w:r>
        <w:rPr>
          <w:rFonts w:hint="eastAsia"/>
        </w:rPr>
        <w:t>社会经济条件类易损性评价参照 10.2.3执行。社会经济条件包括人口分布、村镇分布、土地资源分布、基础设施分布、厂矿企业分布、学校分布、产值分布等。</w:t>
      </w:r>
    </w:p>
    <w:p w14:paraId="052FC6A7">
      <w:pPr>
        <w:pStyle w:val="166"/>
      </w:pPr>
      <w:r>
        <w:rPr>
          <w:rFonts w:hint="eastAsia"/>
        </w:rPr>
        <w:t>具体的承灾体条件的易损性评价主要考虑承灾体类型、数量、价值、遭受地裂缝损毁不同的程度和价值损失率。</w:t>
      </w:r>
    </w:p>
    <w:p w14:paraId="68E5654E">
      <w:pPr>
        <w:pStyle w:val="166"/>
      </w:pPr>
      <w:r>
        <w:rPr>
          <w:rFonts w:hint="eastAsia"/>
        </w:rPr>
        <w:t>在易损性计算中，可以利用公式（8）综合易损性表示单元易损程度，根据评价区域的具体情况，划分为极高、高、中、低四个等级。</w:t>
      </w:r>
    </w:p>
    <w:p w14:paraId="02616574">
      <w:pPr>
        <w:pStyle w:val="115"/>
      </w:pPr>
      <w:r>
        <w:rPr>
          <w:rFonts w:hint="eastAsia"/>
        </w:rPr>
        <w:tab/>
      </w:r>
      <m:oMath>
        <m:r>
          <m:rPr/>
          <w:rPr>
            <w:rFonts w:ascii="Cambria Math" w:hAnsi="Cambria Math"/>
          </w:rPr>
          <m:t>V=∑</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 xml:space="preserve"> </m:t>
        </m:r>
        <m:r>
          <m:rPr>
            <m:sty m:val="p"/>
          </m:rPr>
          <w:rPr>
            <w:rFonts w:ascii="Cambria Math" w:hAnsi="Cambria Math"/>
          </w:rPr>
          <m:t xml:space="preserve"> </m:t>
        </m:r>
      </m:oMath>
      <w:r>
        <w:rPr>
          <w:rFonts w:hint="eastAsia" w:ascii="微软雅黑" w:hAnsi="微软雅黑" w:eastAsia="微软雅黑"/>
        </w:rPr>
        <w:tab/>
      </w:r>
      <w:r>
        <w:t>(</w:t>
      </w:r>
      <w:r>
        <w:fldChar w:fldCharType="begin"/>
      </w:r>
      <w:r>
        <w:instrText xml:space="preserve"> AUTONUM </w:instrText>
      </w:r>
      <w:r>
        <w:fldChar w:fldCharType="end"/>
      </w:r>
      <w:r>
        <w:t>)</w:t>
      </w:r>
    </w:p>
    <w:p w14:paraId="6B807334">
      <w:pPr>
        <w:pStyle w:val="57"/>
        <w:ind w:firstLine="420"/>
      </w:pPr>
      <w:r>
        <w:rPr>
          <w:rFonts w:hint="eastAsia"/>
        </w:rPr>
        <w:t>式中：</w:t>
      </w:r>
    </w:p>
    <w:p w14:paraId="146E1C23">
      <w:pPr>
        <w:pStyle w:val="58"/>
        <w:ind w:firstLine="420"/>
      </w:pPr>
      <w:r>
        <w:rPr>
          <w:rFonts w:hint="eastAsia"/>
        </w:rPr>
        <w:t>V</w:t>
      </w:r>
      <w:r>
        <w:t xml:space="preserve"> </w:t>
      </w:r>
      <w:r>
        <w:rPr>
          <w:rFonts w:hint="eastAsia"/>
        </w:rPr>
        <w:t>——地裂缝综合易损性；</w:t>
      </w:r>
    </w:p>
    <w:p w14:paraId="5F3A33C5">
      <w:pPr>
        <w:pStyle w:val="58"/>
        <w:ind w:firstLine="420"/>
      </w:pPr>
      <w:r>
        <w:rPr>
          <w:rFonts w:hint="eastAsia"/>
        </w:rPr>
        <w:t>W</w:t>
      </w:r>
      <w:r>
        <w:rPr>
          <w:rFonts w:hint="eastAsia"/>
          <w:vertAlign w:val="subscript"/>
        </w:rPr>
        <w:t>i</w:t>
      </w:r>
      <w:r>
        <w:rPr>
          <w:vertAlign w:val="subscript"/>
        </w:rPr>
        <w:t xml:space="preserve"> </w:t>
      </w:r>
      <w:r>
        <w:rPr>
          <w:rFonts w:hint="eastAsia"/>
        </w:rPr>
        <w:t>——各类承灾体灾前一刻的估算总值；</w:t>
      </w:r>
    </w:p>
    <w:p w14:paraId="56E0EA3A">
      <w:pPr>
        <w:pStyle w:val="58"/>
        <w:ind w:firstLine="420"/>
      </w:pPr>
      <w:r>
        <w:rPr>
          <w:rFonts w:hint="eastAsia"/>
        </w:rPr>
        <w:t>D</w:t>
      </w:r>
      <w:r>
        <w:rPr>
          <w:rFonts w:hint="eastAsia"/>
          <w:vertAlign w:val="subscript"/>
        </w:rPr>
        <w:t>i</w:t>
      </w:r>
      <w:r>
        <w:rPr>
          <w:vertAlign w:val="subscript"/>
        </w:rPr>
        <w:t xml:space="preserve"> </w:t>
      </w:r>
      <w:r>
        <w:rPr>
          <w:rFonts w:hint="eastAsia"/>
        </w:rPr>
        <w:t>——各类承灾体的最大可能损失。</w:t>
      </w:r>
    </w:p>
    <w:p w14:paraId="51F3044A">
      <w:pPr>
        <w:pStyle w:val="67"/>
        <w:spacing w:before="156" w:after="156"/>
      </w:pPr>
      <w:bookmarkStart w:id="212" w:name="_Toc168087297"/>
      <w:bookmarkStart w:id="213" w:name="_Toc178172349"/>
      <w:bookmarkStart w:id="214" w:name="_Toc168092273"/>
      <w:bookmarkStart w:id="215" w:name="_Toc176194145"/>
      <w:r>
        <w:rPr>
          <w:rFonts w:hint="eastAsia"/>
        </w:rPr>
        <w:t>防灾减灾能力评价</w:t>
      </w:r>
      <w:bookmarkEnd w:id="212"/>
      <w:bookmarkEnd w:id="213"/>
      <w:bookmarkEnd w:id="214"/>
      <w:bookmarkEnd w:id="215"/>
    </w:p>
    <w:p w14:paraId="72F85BA7">
      <w:pPr>
        <w:pStyle w:val="166"/>
      </w:pPr>
      <w:r>
        <w:rPr>
          <w:rFonts w:hint="eastAsia"/>
        </w:rPr>
        <w:t>地裂缝防灾减灾能力评价因子宜包括地裂缝勘查及监测水平、采取避让措施情况、工程结构及地基处理情况、地裂缝防治规划及实施情况和地下水资源管理水平等。</w:t>
      </w:r>
    </w:p>
    <w:p w14:paraId="3CE10E87">
      <w:pPr>
        <w:pStyle w:val="166"/>
      </w:pPr>
      <w:r>
        <w:rPr>
          <w:rFonts w:hint="eastAsia"/>
        </w:rPr>
        <w:t>应根据各评价因子是否实施及其实施程度和效果，进行等级划分。</w:t>
      </w:r>
    </w:p>
    <w:p w14:paraId="20F72A6F">
      <w:pPr>
        <w:pStyle w:val="166"/>
      </w:pPr>
      <w:r>
        <w:rPr>
          <w:rFonts w:hint="eastAsia"/>
        </w:rPr>
        <w:t>地裂缝防灾减灾能力评价方法与流程可参照 10.3.4.3执行，按照公式（5）计算地裂缝防灾减灾能力指数。</w:t>
      </w:r>
    </w:p>
    <w:p w14:paraId="4523B28D">
      <w:pPr>
        <w:pStyle w:val="166"/>
      </w:pPr>
      <w:r>
        <w:rPr>
          <w:rFonts w:hint="eastAsia"/>
        </w:rPr>
        <w:t>根据防灾减灾能力指数计算结果，确定分级标准，宜将防灾减灾能力划分为极高、高、中、低四个等级。</w:t>
      </w:r>
    </w:p>
    <w:p w14:paraId="677B2908">
      <w:pPr>
        <w:pStyle w:val="67"/>
        <w:spacing w:before="156" w:after="156"/>
      </w:pPr>
      <w:bookmarkStart w:id="216" w:name="_Toc168087298"/>
      <w:bookmarkStart w:id="217" w:name="_Toc178172350"/>
      <w:bookmarkStart w:id="218" w:name="_Toc176194146"/>
      <w:bookmarkStart w:id="219" w:name="_Toc168092274"/>
      <w:r>
        <w:rPr>
          <w:rFonts w:hint="eastAsia"/>
        </w:rPr>
        <w:t>地裂缝风险程度评价</w:t>
      </w:r>
      <w:bookmarkEnd w:id="216"/>
      <w:bookmarkEnd w:id="217"/>
      <w:bookmarkEnd w:id="218"/>
      <w:bookmarkEnd w:id="219"/>
    </w:p>
    <w:p w14:paraId="7AE20CF1">
      <w:pPr>
        <w:pStyle w:val="166"/>
      </w:pPr>
      <w:r>
        <w:rPr>
          <w:rFonts w:hint="eastAsia"/>
        </w:rPr>
        <w:t>地裂缝风险性评价应在地裂缝危险性、易损性评价和防震减灾能力评价的基础上进行。</w:t>
      </w:r>
    </w:p>
    <w:p w14:paraId="4D176F1D">
      <w:pPr>
        <w:pStyle w:val="166"/>
      </w:pPr>
      <w:r>
        <w:rPr>
          <w:rFonts w:hint="eastAsia"/>
        </w:rPr>
        <w:t>利用公式（6）计算地裂缝风险指数。根据计算结果，确定分级标准，宜将地裂缝风险划分为极高、高、中、低四个等级。</w:t>
      </w:r>
    </w:p>
    <w:p w14:paraId="170E853A">
      <w:pPr>
        <w:pStyle w:val="166"/>
      </w:pPr>
      <w:r>
        <w:rPr>
          <w:rFonts w:hint="eastAsia"/>
        </w:rPr>
        <w:t>地裂缝风险评价结果应适时发布，并应根据危险性和易损性的变化而及时更新，以利灾害预警系统的启动和运行。</w:t>
      </w:r>
    </w:p>
    <w:p w14:paraId="43936007">
      <w:pPr>
        <w:pStyle w:val="106"/>
        <w:spacing w:before="312" w:after="312"/>
      </w:pPr>
      <w:bookmarkStart w:id="220" w:name="_Toc168092275"/>
      <w:bookmarkStart w:id="221" w:name="_Toc168087299"/>
      <w:bookmarkStart w:id="222" w:name="_Toc168321603"/>
      <w:bookmarkStart w:id="223" w:name="_Toc176194147"/>
      <w:bookmarkStart w:id="224" w:name="_Toc178172351"/>
      <w:r>
        <w:rPr>
          <w:rFonts w:hint="eastAsia"/>
        </w:rPr>
        <w:t>风险管控</w:t>
      </w:r>
      <w:bookmarkEnd w:id="220"/>
      <w:bookmarkEnd w:id="221"/>
      <w:bookmarkEnd w:id="222"/>
      <w:bookmarkEnd w:id="223"/>
      <w:bookmarkEnd w:id="224"/>
    </w:p>
    <w:p w14:paraId="07D7B813">
      <w:pPr>
        <w:pStyle w:val="107"/>
        <w:spacing w:before="156" w:after="156"/>
      </w:pPr>
      <w:bookmarkStart w:id="225" w:name="_Toc168321604"/>
      <w:bookmarkStart w:id="226" w:name="_Toc168092276"/>
      <w:bookmarkStart w:id="227" w:name="_Toc176194148"/>
      <w:bookmarkStart w:id="228" w:name="_Toc178172352"/>
      <w:bookmarkStart w:id="229" w:name="_Toc168087300"/>
      <w:r>
        <w:rPr>
          <w:rFonts w:hint="eastAsia"/>
        </w:rPr>
        <w:t>地质灾害降雨阈值研究</w:t>
      </w:r>
      <w:bookmarkEnd w:id="225"/>
      <w:bookmarkEnd w:id="226"/>
      <w:bookmarkEnd w:id="227"/>
      <w:bookmarkEnd w:id="228"/>
      <w:bookmarkEnd w:id="229"/>
    </w:p>
    <w:p w14:paraId="79BD67F9">
      <w:pPr>
        <w:pStyle w:val="167"/>
      </w:pPr>
      <w:r>
        <w:rPr>
          <w:rFonts w:hint="eastAsia"/>
        </w:rPr>
        <w:t>降雨阈值研究的对象为滑坡、崩塌、泥石流等地质灾害类型。</w:t>
      </w:r>
    </w:p>
    <w:p w14:paraId="724AA8B3">
      <w:pPr>
        <w:pStyle w:val="167"/>
      </w:pPr>
      <w:r>
        <w:rPr>
          <w:rFonts w:hint="eastAsia"/>
        </w:rPr>
        <w:t xml:space="preserve">降雨阈值宜选择包括但不限于基于过程降雨的统计学方法、基于前期降雨的统计学方法和基于水文和力学模型的方法等进行分析计算。具体方法可参考但不限于附录 </w:t>
      </w:r>
      <w:r>
        <w:t>J</w:t>
      </w:r>
      <w:r>
        <w:rPr>
          <w:rFonts w:hint="eastAsia"/>
        </w:rPr>
        <w:t>。</w:t>
      </w:r>
    </w:p>
    <w:p w14:paraId="3536D4F0">
      <w:pPr>
        <w:pStyle w:val="167"/>
      </w:pPr>
      <w:r>
        <w:rPr>
          <w:rFonts w:hint="eastAsia"/>
        </w:rPr>
        <w:t>降雨阈值宜结合地质灾害气象风险预警工作需要，分别按照 1h、3h、6h、12h 和 24h等降雨量提出。为提高降雨阈值分析精度，地质灾害统计样本不限于调查区，宜结合周边区域进行数据收集统计。</w:t>
      </w:r>
    </w:p>
    <w:p w14:paraId="1393C30C">
      <w:pPr>
        <w:pStyle w:val="167"/>
      </w:pPr>
      <w:r>
        <w:rPr>
          <w:rFonts w:hint="eastAsia"/>
        </w:rPr>
        <w:t>应说明降雨阈值的精度、时效性及局限性。</w:t>
      </w:r>
    </w:p>
    <w:p w14:paraId="28B8E254">
      <w:pPr>
        <w:pStyle w:val="107"/>
        <w:spacing w:before="156" w:after="156"/>
      </w:pPr>
      <w:bookmarkStart w:id="230" w:name="_Toc178172353"/>
      <w:bookmarkStart w:id="231" w:name="_Toc168092277"/>
      <w:bookmarkStart w:id="232" w:name="_Toc168321605"/>
      <w:bookmarkStart w:id="233" w:name="_Toc168087301"/>
      <w:bookmarkStart w:id="234" w:name="_Toc176194149"/>
      <w:r>
        <w:rPr>
          <w:rFonts w:hint="eastAsia"/>
        </w:rPr>
        <w:t>地质灾害风险管控</w:t>
      </w:r>
      <w:bookmarkEnd w:id="230"/>
      <w:bookmarkEnd w:id="231"/>
      <w:bookmarkEnd w:id="232"/>
      <w:bookmarkEnd w:id="233"/>
      <w:bookmarkEnd w:id="234"/>
    </w:p>
    <w:p w14:paraId="4EC088A9">
      <w:pPr>
        <w:pStyle w:val="167"/>
      </w:pPr>
      <w:r>
        <w:rPr>
          <w:rFonts w:hint="eastAsia"/>
        </w:rPr>
        <w:t>应根据地质灾害风险评价结果，突发性地质灾害中风险区及以上的区域编制突发性地质灾害风险管控方案和图册，明确潜在致灾灾种，致灾、承灾范围，致灾机理等，绘制风险区平剖面图，并提出有针对性的风险管控措施。</w:t>
      </w:r>
    </w:p>
    <w:p w14:paraId="4B47A053">
      <w:pPr>
        <w:pStyle w:val="167"/>
      </w:pPr>
      <w:r>
        <w:rPr>
          <w:rFonts w:hint="eastAsia"/>
        </w:rPr>
        <w:t>建立降雨阈值与突发性地质灾害气象风险预警等级矩阵关系表，明确不同地质灾害气象风险预警等级下风险管控区人员应急避险标准。</w:t>
      </w:r>
    </w:p>
    <w:p w14:paraId="15DE5D55">
      <w:pPr>
        <w:pStyle w:val="167"/>
      </w:pPr>
      <w:r>
        <w:rPr>
          <w:rFonts w:hint="eastAsia"/>
        </w:rPr>
        <w:t>结合工作区防灾减灾工作的实际情况，从提高致灾体稳定性、降低承灾体易损性、有效规避风险等角度，分区分类开展风险管控，提出工程治理、避让搬迁、监测网点布设和监测预警等风险管控措施建议。</w:t>
      </w:r>
    </w:p>
    <w:p w14:paraId="0EAF3CCE">
      <w:pPr>
        <w:pStyle w:val="167"/>
      </w:pPr>
      <w:r>
        <w:rPr>
          <w:rFonts w:hint="eastAsia"/>
        </w:rPr>
        <w:t>地质灾害低风险区应加强巡查排查，发现问题及时采取风险防控措施。</w:t>
      </w:r>
    </w:p>
    <w:p w14:paraId="73BC63C7">
      <w:pPr>
        <w:pStyle w:val="167"/>
      </w:pPr>
      <w:r>
        <w:rPr>
          <w:rFonts w:hint="eastAsia"/>
        </w:rPr>
        <w:t>地面沉降、地裂缝按风险等级划定不同的风险管控分区，提出建设优化地面沉降监测预警网、禁止或限制地下水开采、实施地下水回灌、提出年均地面沉降量和最大允许沉降量控制指标等地面沉降风险防控对策与建议。</w:t>
      </w:r>
    </w:p>
    <w:p w14:paraId="1D4CCB4C">
      <w:pPr>
        <w:pStyle w:val="167"/>
      </w:pPr>
      <w:r>
        <w:rPr>
          <w:rFonts w:hint="eastAsia"/>
        </w:rPr>
        <w:t>宜根据地质灾害风险管控措施实施后的风险评价结果，适时调整风险区等级。</w:t>
      </w:r>
    </w:p>
    <w:p w14:paraId="1E403C00">
      <w:pPr>
        <w:pStyle w:val="106"/>
        <w:spacing w:before="312" w:after="312"/>
      </w:pPr>
      <w:bookmarkStart w:id="235" w:name="_Toc168092278"/>
      <w:bookmarkStart w:id="236" w:name="_Toc168321606"/>
      <w:bookmarkStart w:id="237" w:name="_Toc168087302"/>
      <w:bookmarkStart w:id="238" w:name="_Toc176194150"/>
      <w:bookmarkStart w:id="239" w:name="_Toc178172354"/>
      <w:r>
        <w:rPr>
          <w:rFonts w:hint="eastAsia"/>
        </w:rPr>
        <w:t>设计书、成果编制与验收</w:t>
      </w:r>
      <w:bookmarkEnd w:id="235"/>
      <w:bookmarkEnd w:id="236"/>
      <w:bookmarkEnd w:id="237"/>
      <w:bookmarkEnd w:id="238"/>
      <w:bookmarkEnd w:id="239"/>
    </w:p>
    <w:p w14:paraId="214A8F4A">
      <w:pPr>
        <w:pStyle w:val="107"/>
        <w:spacing w:before="156" w:after="156"/>
      </w:pPr>
      <w:bookmarkStart w:id="240" w:name="_Toc168092279"/>
      <w:bookmarkStart w:id="241" w:name="_Toc178172355"/>
      <w:bookmarkStart w:id="242" w:name="_Toc168321607"/>
      <w:bookmarkStart w:id="243" w:name="_Toc176194151"/>
      <w:bookmarkStart w:id="244" w:name="_Toc168087303"/>
      <w:r>
        <w:rPr>
          <w:rFonts w:hint="eastAsia"/>
        </w:rPr>
        <w:t>设计书编写</w:t>
      </w:r>
      <w:bookmarkEnd w:id="240"/>
      <w:bookmarkEnd w:id="241"/>
      <w:bookmarkEnd w:id="242"/>
      <w:bookmarkEnd w:id="243"/>
      <w:bookmarkEnd w:id="244"/>
    </w:p>
    <w:p w14:paraId="4467C1B4">
      <w:pPr>
        <w:pStyle w:val="167"/>
      </w:pPr>
      <w:r>
        <w:rPr>
          <w:rFonts w:hint="eastAsia"/>
        </w:rPr>
        <w:t>设计书编写应在详细了解调查区基本情况、充分收集整理相关资料，经遥感解译和野外踏勘后进行。</w:t>
      </w:r>
    </w:p>
    <w:p w14:paraId="5B7EFC97">
      <w:pPr>
        <w:pStyle w:val="167"/>
      </w:pPr>
      <w:r>
        <w:rPr>
          <w:rFonts w:hint="eastAsia"/>
        </w:rPr>
        <w:t>设计书应做到目标明确、依据充分、任务具体，技术路线合理、工作方法先进可行、工作量布置得当、经费预算合理、保障措施有力，内容完整、文字精炼、重点突出、附图附表清晰齐全。</w:t>
      </w:r>
    </w:p>
    <w:p w14:paraId="31AD23C5">
      <w:pPr>
        <w:pStyle w:val="167"/>
      </w:pPr>
      <w:r>
        <w:rPr>
          <w:rFonts w:hint="eastAsia"/>
        </w:rPr>
        <w:t>应根据任务书（或合同书）要求，细化目标任务，确定量化可考核的预期成果，明确需要重点解决的问题以及专题研究内容，制定技术路线和工作进度安排，落实具体实物工作量，阐明部署依据等。</w:t>
      </w:r>
    </w:p>
    <w:p w14:paraId="5A41FA28">
      <w:pPr>
        <w:pStyle w:val="167"/>
      </w:pPr>
      <w:r>
        <w:rPr>
          <w:rFonts w:hint="eastAsia"/>
        </w:rPr>
        <w:t>设计书附图及附表包括：地质灾害及隐患点分布图、以往工作程度图（可作插图）、工作部署图，以及其他相关附图、附表等。</w:t>
      </w:r>
    </w:p>
    <w:p w14:paraId="3026B636">
      <w:pPr>
        <w:pStyle w:val="167"/>
      </w:pPr>
      <w:r>
        <w:rPr>
          <w:rFonts w:hint="eastAsia"/>
        </w:rPr>
        <w:t>设计书编写提纲参照附录 N。</w:t>
      </w:r>
    </w:p>
    <w:p w14:paraId="7FBC27AD">
      <w:pPr>
        <w:pStyle w:val="107"/>
        <w:spacing w:before="156" w:after="156"/>
      </w:pPr>
      <w:bookmarkStart w:id="245" w:name="_Toc178172356"/>
      <w:bookmarkStart w:id="246" w:name="_Toc168321608"/>
      <w:bookmarkStart w:id="247" w:name="_Toc168087304"/>
      <w:bookmarkStart w:id="248" w:name="_Toc176194152"/>
      <w:bookmarkStart w:id="249" w:name="_Toc168092280"/>
      <w:r>
        <w:rPr>
          <w:rFonts w:hint="eastAsia"/>
        </w:rPr>
        <w:t>成果图件编制</w:t>
      </w:r>
      <w:bookmarkEnd w:id="245"/>
      <w:bookmarkEnd w:id="246"/>
      <w:bookmarkEnd w:id="247"/>
      <w:bookmarkEnd w:id="248"/>
      <w:bookmarkEnd w:id="249"/>
    </w:p>
    <w:p w14:paraId="704B0A69">
      <w:pPr>
        <w:pStyle w:val="167"/>
      </w:pPr>
      <w:r>
        <w:rPr>
          <w:rFonts w:hint="eastAsia"/>
        </w:rPr>
        <w:t>成果图件应在充分利用已有资料和最新调查资料，深入分析和综合研究的基础上编制，坐标系应该采用 2000 国家大地坐标系。</w:t>
      </w:r>
    </w:p>
    <w:p w14:paraId="09DB5403">
      <w:pPr>
        <w:pStyle w:val="167"/>
      </w:pPr>
      <w:r>
        <w:rPr>
          <w:rFonts w:hint="eastAsia"/>
        </w:rPr>
        <w:t>应编制地质灾害调查实际材料图、孕灾地质条件图、地质灾害遥感解译图、地质灾害易发程度分区图、地质灾害危险程度分区图、地质灾害风险分区图，可根据调查区实际情况和专题研究成果选编其它图件。成图比例尺根据调查区面积、出图图件大小确定。</w:t>
      </w:r>
    </w:p>
    <w:p w14:paraId="3E329FED">
      <w:pPr>
        <w:pStyle w:val="167"/>
      </w:pPr>
      <w:r>
        <w:rPr>
          <w:rFonts w:hint="eastAsia"/>
        </w:rPr>
        <w:t>编制地质灾害风险区管控图册。</w:t>
      </w:r>
    </w:p>
    <w:p w14:paraId="372E20B6">
      <w:pPr>
        <w:pStyle w:val="167"/>
      </w:pPr>
      <w:r>
        <w:rPr>
          <w:rFonts w:hint="eastAsia"/>
        </w:rPr>
        <w:t>主要图件应该满足如下要求：</w:t>
      </w:r>
    </w:p>
    <w:p w14:paraId="7FA9C93E">
      <w:pPr>
        <w:pStyle w:val="176"/>
        <w:numPr>
          <w:ilvl w:val="0"/>
          <w:numId w:val="44"/>
        </w:numPr>
      </w:pPr>
      <w:r>
        <w:rPr>
          <w:rFonts w:hint="eastAsia"/>
        </w:rPr>
        <w:t>实际材料图应主要反映工作区调查工作情况及工作程度；</w:t>
      </w:r>
    </w:p>
    <w:p w14:paraId="2F9A5BA4">
      <w:pPr>
        <w:pStyle w:val="176"/>
      </w:pPr>
      <w:r>
        <w:rPr>
          <w:rFonts w:hint="eastAsia"/>
        </w:rPr>
        <w:t>孕灾地质条件图应反映工作区内影响地质灾害形成的地质条件及特征、地质灾害分布和发育特征等，并按孕灾地质条件特征的进行孕灾地质条件分区。</w:t>
      </w:r>
    </w:p>
    <w:p w14:paraId="4FBA6FD4">
      <w:pPr>
        <w:pStyle w:val="176"/>
      </w:pPr>
      <w:r>
        <w:rPr>
          <w:rFonts w:hint="eastAsia"/>
        </w:rPr>
        <w:t>地质灾害易发程度图应反映区内地质灾害分布和地质灾害易发程度分区；</w:t>
      </w:r>
    </w:p>
    <w:p w14:paraId="3E60FC45">
      <w:pPr>
        <w:pStyle w:val="176"/>
      </w:pPr>
      <w:r>
        <w:rPr>
          <w:rFonts w:hint="eastAsia"/>
        </w:rPr>
        <w:t>地质灾害危险性评价图应反映区内地质灾害发生的可能性、强度及影响范围；</w:t>
      </w:r>
    </w:p>
    <w:p w14:paraId="29BABE41">
      <w:pPr>
        <w:pStyle w:val="176"/>
      </w:pPr>
      <w:r>
        <w:rPr>
          <w:rFonts w:hint="eastAsia"/>
        </w:rPr>
        <w:t>地质灾害风险评价图应反映区内地质灾害可能造风险程度；</w:t>
      </w:r>
    </w:p>
    <w:p w14:paraId="7C219F9F">
      <w:pPr>
        <w:pStyle w:val="176"/>
      </w:pPr>
      <w:r>
        <w:rPr>
          <w:rFonts w:hint="eastAsia"/>
        </w:rPr>
        <w:t>地质灾害风险管控图册应包括地质灾害风险等级和防灾避险措施，突发性地质灾害风险区还应包括户籍和常驻人员名单、经济类承灾体价值等承灾体信息。</w:t>
      </w:r>
    </w:p>
    <w:p w14:paraId="3D5B30E7">
      <w:pPr>
        <w:pStyle w:val="107"/>
        <w:spacing w:before="156" w:after="156"/>
      </w:pPr>
      <w:bookmarkStart w:id="250" w:name="_Toc168087305"/>
      <w:bookmarkStart w:id="251" w:name="_Toc168092281"/>
      <w:bookmarkStart w:id="252" w:name="_Toc176194153"/>
      <w:bookmarkStart w:id="253" w:name="_Toc168321609"/>
      <w:bookmarkStart w:id="254" w:name="_Toc178172357"/>
      <w:r>
        <w:rPr>
          <w:rFonts w:hint="eastAsia"/>
        </w:rPr>
        <w:t>报告编制</w:t>
      </w:r>
      <w:bookmarkEnd w:id="250"/>
      <w:bookmarkEnd w:id="251"/>
      <w:bookmarkEnd w:id="252"/>
      <w:bookmarkEnd w:id="253"/>
      <w:bookmarkEnd w:id="254"/>
    </w:p>
    <w:p w14:paraId="6E6FEB6D">
      <w:pPr>
        <w:pStyle w:val="167"/>
      </w:pPr>
      <w:r>
        <w:rPr>
          <w:rFonts w:hint="eastAsia"/>
        </w:rPr>
        <w:t>报告编写应充分利用已有资料、全面反映地质灾害风险调查评价所取得的成果。</w:t>
      </w:r>
    </w:p>
    <w:p w14:paraId="56A7A8CF">
      <w:pPr>
        <w:pStyle w:val="167"/>
      </w:pPr>
      <w:r>
        <w:rPr>
          <w:rFonts w:hint="eastAsia"/>
        </w:rPr>
        <w:t>地质灾害调查成果报告所依据的原始资料，应进行整理、检查、分析，确认无误后方可使用。</w:t>
      </w:r>
    </w:p>
    <w:p w14:paraId="790402E9">
      <w:pPr>
        <w:pStyle w:val="167"/>
      </w:pPr>
      <w:r>
        <w:rPr>
          <w:rFonts w:hint="eastAsia"/>
        </w:rPr>
        <w:t>成果报告的文字、术语、代号、符号、数字、计量单位、标点，应符合国家有关标准的规定。</w:t>
      </w:r>
    </w:p>
    <w:p w14:paraId="29F08C32">
      <w:pPr>
        <w:pStyle w:val="167"/>
      </w:pPr>
      <w:r>
        <w:rPr>
          <w:rFonts w:hint="eastAsia"/>
        </w:rPr>
        <w:t>结合调查区防灾减灾需求与经济社会发展规划，提出合理、有效的地质灾害防治对策建议。</w:t>
      </w:r>
    </w:p>
    <w:p w14:paraId="0C3F3535">
      <w:pPr>
        <w:pStyle w:val="167"/>
      </w:pPr>
      <w:r>
        <w:rPr>
          <w:rFonts w:hint="eastAsia"/>
        </w:rPr>
        <w:t>成果报告提纲参照附录O。</w:t>
      </w:r>
    </w:p>
    <w:p w14:paraId="6FE8D9F7">
      <w:pPr>
        <w:pStyle w:val="107"/>
        <w:spacing w:before="156" w:after="156"/>
      </w:pPr>
      <w:bookmarkStart w:id="255" w:name="_Toc178172358"/>
      <w:bookmarkStart w:id="256" w:name="_Toc168087306"/>
      <w:bookmarkStart w:id="257" w:name="_Toc176194154"/>
      <w:bookmarkStart w:id="258" w:name="_Toc168321610"/>
      <w:bookmarkStart w:id="259" w:name="_Toc168092282"/>
      <w:r>
        <w:rPr>
          <w:rFonts w:hint="eastAsia"/>
        </w:rPr>
        <w:t>数据库建设</w:t>
      </w:r>
      <w:bookmarkEnd w:id="255"/>
      <w:bookmarkEnd w:id="256"/>
      <w:bookmarkEnd w:id="257"/>
      <w:bookmarkEnd w:id="258"/>
      <w:bookmarkEnd w:id="259"/>
    </w:p>
    <w:p w14:paraId="52FEBCE9">
      <w:pPr>
        <w:pStyle w:val="167"/>
      </w:pPr>
      <w:r>
        <w:rPr>
          <w:rFonts w:hint="eastAsia"/>
        </w:rPr>
        <w:t>数据库建设以地理信息系统平台为基础，并保留相应的属性，命名规则参考国家测绘局 1:50000 标准数据。</w:t>
      </w:r>
    </w:p>
    <w:p w14:paraId="11A20AF1">
      <w:pPr>
        <w:pStyle w:val="167"/>
      </w:pPr>
      <w:r>
        <w:rPr>
          <w:rFonts w:hint="eastAsia"/>
        </w:rPr>
        <w:t>地质灾害图应采用点、线、面表征不同要素，按照不同数据类别形成物理图层，建立各要素属性数据库，并形成拓扑关系，同时根据地质灾害体的规模、类型及灾害要素的差异，用点、线、面表征。一般应具有综合工程地质柱状图、区域地质构造背景等类别镶图及责任签。</w:t>
      </w:r>
    </w:p>
    <w:p w14:paraId="108A804B">
      <w:pPr>
        <w:pStyle w:val="167"/>
      </w:pPr>
      <w:r>
        <w:rPr>
          <w:rFonts w:hint="eastAsia"/>
        </w:rPr>
        <w:t>地质灾害风险评价图应根据评价结果采用面图元表示，并建立拓扑关系，应具有易发性或风险等级等基本属性表。</w:t>
      </w:r>
    </w:p>
    <w:p w14:paraId="2C686E53">
      <w:pPr>
        <w:pStyle w:val="167"/>
      </w:pPr>
      <w:r>
        <w:rPr>
          <w:rFonts w:hint="eastAsia"/>
        </w:rPr>
        <w:t>各类成果图件均应提供空间数据库及地图文档；地图文档需与打印版本一致，提供数据存贮路径说明和系统库，以及图件。</w:t>
      </w:r>
    </w:p>
    <w:p w14:paraId="3D5D3F05">
      <w:pPr>
        <w:pStyle w:val="167"/>
      </w:pPr>
      <w:r>
        <w:rPr>
          <w:rFonts w:hint="eastAsia"/>
        </w:rPr>
        <w:t>数据库建设应符合 GB/T 30319 要求。</w:t>
      </w:r>
    </w:p>
    <w:p w14:paraId="3D4766A1">
      <w:pPr>
        <w:pStyle w:val="107"/>
        <w:spacing w:before="156" w:after="156"/>
      </w:pPr>
      <w:bookmarkStart w:id="260" w:name="_Toc168087307"/>
      <w:bookmarkStart w:id="261" w:name="_Toc168321611"/>
      <w:bookmarkStart w:id="262" w:name="_Toc168092283"/>
      <w:bookmarkStart w:id="263" w:name="_Toc176194155"/>
      <w:bookmarkStart w:id="264" w:name="_Toc178172359"/>
      <w:r>
        <w:rPr>
          <w:rFonts w:hint="eastAsia"/>
        </w:rPr>
        <w:t>成果验收</w:t>
      </w:r>
      <w:bookmarkEnd w:id="260"/>
      <w:bookmarkEnd w:id="261"/>
      <w:bookmarkEnd w:id="262"/>
      <w:bookmarkEnd w:id="263"/>
      <w:bookmarkEnd w:id="264"/>
    </w:p>
    <w:p w14:paraId="7738F0B9">
      <w:pPr>
        <w:pStyle w:val="67"/>
        <w:spacing w:before="156" w:after="156"/>
      </w:pPr>
      <w:bookmarkStart w:id="265" w:name="_Toc168092284"/>
      <w:bookmarkStart w:id="266" w:name="_Toc178172360"/>
      <w:bookmarkStart w:id="267" w:name="_Toc176194156"/>
      <w:bookmarkStart w:id="268" w:name="_Toc168087308"/>
      <w:r>
        <w:rPr>
          <w:rFonts w:hint="eastAsia"/>
        </w:rPr>
        <w:t>质量检查</w:t>
      </w:r>
      <w:bookmarkEnd w:id="265"/>
      <w:bookmarkEnd w:id="266"/>
      <w:bookmarkEnd w:id="267"/>
      <w:bookmarkEnd w:id="268"/>
    </w:p>
    <w:p w14:paraId="5E77D8EC">
      <w:pPr>
        <w:pStyle w:val="166"/>
      </w:pPr>
      <w:r>
        <w:rPr>
          <w:rFonts w:hint="eastAsia"/>
        </w:rPr>
        <w:t>应检查项目工作部署、工程布置、工作质量和工作进度。</w:t>
      </w:r>
    </w:p>
    <w:p w14:paraId="36C9CF58">
      <w:pPr>
        <w:pStyle w:val="166"/>
      </w:pPr>
      <w:r>
        <w:rPr>
          <w:rFonts w:hint="eastAsia"/>
        </w:rPr>
        <w:t>应检查项目质量内控体系和质量检查记录，包括自检、互检、抽检等记录。</w:t>
      </w:r>
    </w:p>
    <w:p w14:paraId="7724353D">
      <w:pPr>
        <w:pStyle w:val="67"/>
        <w:spacing w:before="156" w:after="156"/>
      </w:pPr>
      <w:bookmarkStart w:id="269" w:name="_Toc176194157"/>
      <w:bookmarkStart w:id="270" w:name="_Toc178172361"/>
      <w:r>
        <w:rPr>
          <w:rFonts w:hint="eastAsia"/>
        </w:rPr>
        <w:t>设计审查</w:t>
      </w:r>
      <w:bookmarkEnd w:id="269"/>
      <w:bookmarkEnd w:id="270"/>
    </w:p>
    <w:p w14:paraId="431B4FEF">
      <w:pPr>
        <w:pStyle w:val="166"/>
      </w:pPr>
      <w:r>
        <w:rPr>
          <w:rFonts w:hint="eastAsia"/>
        </w:rPr>
        <w:t>设计书审查时应提供下列技术文件：</w:t>
      </w:r>
    </w:p>
    <w:p w14:paraId="09D65786">
      <w:pPr>
        <w:pStyle w:val="176"/>
        <w:numPr>
          <w:ilvl w:val="0"/>
          <w:numId w:val="45"/>
        </w:numPr>
      </w:pPr>
      <w:r>
        <w:rPr>
          <w:rFonts w:hint="eastAsia"/>
        </w:rPr>
        <w:t>项目任务书；</w:t>
      </w:r>
    </w:p>
    <w:p w14:paraId="7EE85F08">
      <w:pPr>
        <w:pStyle w:val="176"/>
      </w:pPr>
      <w:r>
        <w:rPr>
          <w:rFonts w:hint="eastAsia"/>
        </w:rPr>
        <w:t>项目设计书、图件等相关资料；</w:t>
      </w:r>
    </w:p>
    <w:p w14:paraId="3392AE51">
      <w:pPr>
        <w:pStyle w:val="166"/>
      </w:pPr>
      <w:r>
        <w:rPr>
          <w:rFonts w:hint="eastAsia"/>
        </w:rPr>
        <w:t>设计书审查一般应包括以下内容：</w:t>
      </w:r>
    </w:p>
    <w:p w14:paraId="1D362F5F">
      <w:pPr>
        <w:pStyle w:val="176"/>
        <w:numPr>
          <w:ilvl w:val="0"/>
          <w:numId w:val="46"/>
        </w:numPr>
      </w:pPr>
      <w:r>
        <w:rPr>
          <w:rFonts w:hint="eastAsia"/>
        </w:rPr>
        <w:t>审查设计书的完整性、合理性、可靠性和实用性；</w:t>
      </w:r>
    </w:p>
    <w:p w14:paraId="42C4101A">
      <w:pPr>
        <w:pStyle w:val="176"/>
      </w:pPr>
      <w:r>
        <w:rPr>
          <w:rFonts w:hint="eastAsia"/>
        </w:rPr>
        <w:t xml:space="preserve">各项工作量部署是否合理； </w:t>
      </w:r>
    </w:p>
    <w:p w14:paraId="76AA7EF2">
      <w:pPr>
        <w:pStyle w:val="176"/>
      </w:pPr>
      <w:r>
        <w:rPr>
          <w:rFonts w:hint="eastAsia"/>
        </w:rPr>
        <w:t xml:space="preserve">各项工作要求是否符合相关规范； </w:t>
      </w:r>
    </w:p>
    <w:p w14:paraId="05D51163">
      <w:pPr>
        <w:pStyle w:val="176"/>
      </w:pPr>
      <w:r>
        <w:rPr>
          <w:rFonts w:hint="eastAsia"/>
        </w:rPr>
        <w:t xml:space="preserve">人员配备、进度安排、经费预算是否合理。 </w:t>
      </w:r>
    </w:p>
    <w:p w14:paraId="5A08C606">
      <w:pPr>
        <w:pStyle w:val="67"/>
        <w:spacing w:before="156" w:after="156"/>
      </w:pPr>
      <w:bookmarkStart w:id="271" w:name="_Toc176194158"/>
      <w:bookmarkStart w:id="272" w:name="_Toc178172362"/>
      <w:r>
        <w:rPr>
          <w:rFonts w:hint="eastAsia"/>
        </w:rPr>
        <w:t>野外验收</w:t>
      </w:r>
      <w:bookmarkEnd w:id="271"/>
      <w:bookmarkEnd w:id="272"/>
    </w:p>
    <w:p w14:paraId="1DA1C3D3">
      <w:pPr>
        <w:pStyle w:val="166"/>
      </w:pPr>
      <w:r>
        <w:rPr>
          <w:rFonts w:hint="eastAsia"/>
        </w:rPr>
        <w:t>应以项目设计书、设计审查意见书、项目任务书、任务变更和工作调整批复意见书、有关标准规范为依据。</w:t>
      </w:r>
    </w:p>
    <w:p w14:paraId="61E241DA">
      <w:pPr>
        <w:pStyle w:val="166"/>
      </w:pPr>
      <w:r>
        <w:rPr>
          <w:rFonts w:hint="eastAsia"/>
        </w:rPr>
        <w:t>野外验收应具备以下条件：</w:t>
      </w:r>
    </w:p>
    <w:p w14:paraId="40053DFC">
      <w:pPr>
        <w:pStyle w:val="176"/>
        <w:numPr>
          <w:ilvl w:val="0"/>
          <w:numId w:val="47"/>
        </w:numPr>
      </w:pPr>
      <w:r>
        <w:rPr>
          <w:rFonts w:hint="eastAsia"/>
        </w:rPr>
        <w:t>已完成设计规定的野外工作；</w:t>
      </w:r>
    </w:p>
    <w:p w14:paraId="2427B4B4">
      <w:pPr>
        <w:pStyle w:val="176"/>
      </w:pPr>
      <w:r>
        <w:rPr>
          <w:rFonts w:hint="eastAsia"/>
        </w:rPr>
        <w:t>原始资料齐全、准确；</w:t>
      </w:r>
    </w:p>
    <w:p w14:paraId="224C3429">
      <w:pPr>
        <w:pStyle w:val="176"/>
      </w:pPr>
      <w:r>
        <w:rPr>
          <w:rFonts w:hint="eastAsia"/>
        </w:rPr>
        <w:t>原始资料已经进行整理，并进行了质量检查和编目造册。</w:t>
      </w:r>
    </w:p>
    <w:p w14:paraId="6079C968">
      <w:pPr>
        <w:pStyle w:val="166"/>
      </w:pPr>
      <w:r>
        <w:rPr>
          <w:rFonts w:hint="eastAsia"/>
        </w:rPr>
        <w:t>野外验收应提供以下资料：</w:t>
      </w:r>
    </w:p>
    <w:p w14:paraId="3B3083AE">
      <w:pPr>
        <w:pStyle w:val="176"/>
        <w:numPr>
          <w:ilvl w:val="0"/>
          <w:numId w:val="48"/>
        </w:numPr>
      </w:pPr>
      <w:r>
        <w:rPr>
          <w:rFonts w:hint="eastAsia"/>
        </w:rPr>
        <w:t>野外资料，包括调查原始数据、原始图件、测量数据记录、勘查编录资料、样品分析测试结果、物探、遥感解译等资料；</w:t>
      </w:r>
    </w:p>
    <w:p w14:paraId="4F388F70">
      <w:pPr>
        <w:pStyle w:val="176"/>
      </w:pPr>
      <w:r>
        <w:rPr>
          <w:rFonts w:hint="eastAsia"/>
        </w:rPr>
        <w:t>质量检查记录；</w:t>
      </w:r>
    </w:p>
    <w:p w14:paraId="47E3A4BD">
      <w:pPr>
        <w:pStyle w:val="176"/>
      </w:pPr>
      <w:r>
        <w:rPr>
          <w:rFonts w:hint="eastAsia"/>
        </w:rPr>
        <w:t>野外工作总结报告，提纲参照附录 M。</w:t>
      </w:r>
    </w:p>
    <w:p w14:paraId="0333B377">
      <w:pPr>
        <w:pStyle w:val="166"/>
      </w:pPr>
      <w:r>
        <w:rPr>
          <w:rFonts w:hint="eastAsia"/>
        </w:rPr>
        <w:t>应按照不少于工作量3%的比例，对野外调查点、物探点、测绘点、测试点、取样点等进行抽样检查和野外现场检查。</w:t>
      </w:r>
    </w:p>
    <w:p w14:paraId="717896AC">
      <w:pPr>
        <w:pStyle w:val="166"/>
      </w:pPr>
      <w:r>
        <w:rPr>
          <w:rFonts w:hint="eastAsia"/>
        </w:rPr>
        <w:t>应按照不少于工作量30%的比例，对钻孔、槽探等山地工程工作情况进行检查。</w:t>
      </w:r>
    </w:p>
    <w:p w14:paraId="3A393867">
      <w:pPr>
        <w:pStyle w:val="166"/>
      </w:pPr>
      <w:r>
        <w:rPr>
          <w:rFonts w:hint="eastAsia"/>
        </w:rPr>
        <w:t>应开展分区结果与实际情况的一致性检验，分析可靠性、准确性和数据质量，形成野外验收意见。</w:t>
      </w:r>
    </w:p>
    <w:p w14:paraId="403591D2">
      <w:pPr>
        <w:pStyle w:val="67"/>
        <w:spacing w:before="156" w:after="156"/>
      </w:pPr>
      <w:bookmarkStart w:id="273" w:name="_Toc168092286"/>
      <w:bookmarkStart w:id="274" w:name="_Toc168087310"/>
      <w:bookmarkStart w:id="275" w:name="_Toc176194159"/>
      <w:bookmarkStart w:id="276" w:name="_Toc178172363"/>
      <w:r>
        <w:rPr>
          <w:rFonts w:hint="eastAsia"/>
        </w:rPr>
        <w:t>数据库验收</w:t>
      </w:r>
      <w:bookmarkEnd w:id="273"/>
      <w:bookmarkEnd w:id="274"/>
      <w:bookmarkEnd w:id="275"/>
      <w:bookmarkEnd w:id="276"/>
    </w:p>
    <w:p w14:paraId="62280D4A">
      <w:pPr>
        <w:pStyle w:val="166"/>
      </w:pPr>
      <w:r>
        <w:rPr>
          <w:rFonts w:hint="eastAsia"/>
        </w:rPr>
        <w:t>应在成果报告评审前完成野外调查数据库验收，以此作为项目成果报告验收的前提。</w:t>
      </w:r>
    </w:p>
    <w:p w14:paraId="3592AE38">
      <w:pPr>
        <w:pStyle w:val="166"/>
      </w:pPr>
      <w:r>
        <w:rPr>
          <w:rFonts w:hint="eastAsia"/>
        </w:rPr>
        <w:t>应检查数据质量和可靠性等，重点检查各类空间数据库内容的精度与质量，形成空间数据库验收意见书。</w:t>
      </w:r>
    </w:p>
    <w:p w14:paraId="5732681E">
      <w:pPr>
        <w:pStyle w:val="67"/>
        <w:spacing w:before="156" w:after="156"/>
      </w:pPr>
      <w:bookmarkStart w:id="277" w:name="_Toc168092287"/>
      <w:bookmarkStart w:id="278" w:name="_Toc168087311"/>
      <w:bookmarkStart w:id="279" w:name="_Toc176194160"/>
      <w:bookmarkStart w:id="280" w:name="_Toc178172364"/>
      <w:r>
        <w:rPr>
          <w:rFonts w:hint="eastAsia"/>
        </w:rPr>
        <w:t>成果验收</w:t>
      </w:r>
      <w:bookmarkEnd w:id="277"/>
      <w:bookmarkEnd w:id="278"/>
      <w:bookmarkEnd w:id="279"/>
      <w:bookmarkEnd w:id="280"/>
    </w:p>
    <w:p w14:paraId="43D13591">
      <w:pPr>
        <w:pStyle w:val="166"/>
      </w:pPr>
      <w:r>
        <w:rPr>
          <w:rFonts w:hint="eastAsia"/>
        </w:rPr>
        <w:t>成果报告评审时应提供下列技术文件：</w:t>
      </w:r>
    </w:p>
    <w:p w14:paraId="4C00E061">
      <w:pPr>
        <w:pStyle w:val="176"/>
        <w:numPr>
          <w:ilvl w:val="0"/>
          <w:numId w:val="49"/>
        </w:numPr>
      </w:pPr>
      <w:r>
        <w:rPr>
          <w:rFonts w:hint="eastAsia"/>
        </w:rPr>
        <w:t>项目任务书；</w:t>
      </w:r>
    </w:p>
    <w:p w14:paraId="58ACC7DF">
      <w:pPr>
        <w:pStyle w:val="176"/>
      </w:pPr>
      <w:r>
        <w:rPr>
          <w:rFonts w:hint="eastAsia"/>
        </w:rPr>
        <w:t>项目设计书及审查意见；</w:t>
      </w:r>
    </w:p>
    <w:p w14:paraId="777C9FA8">
      <w:pPr>
        <w:pStyle w:val="176"/>
      </w:pPr>
      <w:r>
        <w:rPr>
          <w:rFonts w:hint="eastAsia"/>
        </w:rPr>
        <w:t>野外验收意见；</w:t>
      </w:r>
    </w:p>
    <w:p w14:paraId="0305F495">
      <w:pPr>
        <w:pStyle w:val="176"/>
      </w:pPr>
      <w:r>
        <w:rPr>
          <w:rFonts w:hint="eastAsia"/>
        </w:rPr>
        <w:t>数据库验收意见；</w:t>
      </w:r>
    </w:p>
    <w:p w14:paraId="1684B80C">
      <w:pPr>
        <w:pStyle w:val="176"/>
        <w:rPr>
          <w:kern w:val="2"/>
          <w:sz w:val="28"/>
          <w:szCs w:val="28"/>
        </w:rPr>
      </w:pPr>
      <w:r>
        <w:t>地质环境及地质灾害调查资料汇总表、无人机航摄成果报告、物探与钻探及山地工程报告、岩土试验报告、照片合集等资料</w:t>
      </w:r>
      <w:r>
        <w:rPr>
          <w:rFonts w:hint="eastAsia"/>
        </w:rPr>
        <w:t>；</w:t>
      </w:r>
    </w:p>
    <w:p w14:paraId="7C955583">
      <w:pPr>
        <w:pStyle w:val="176"/>
      </w:pPr>
      <w:r>
        <w:rPr>
          <w:rFonts w:hint="eastAsia"/>
        </w:rPr>
        <w:t>成果报告、图件等相关资料。</w:t>
      </w:r>
    </w:p>
    <w:p w14:paraId="07FE796E">
      <w:pPr>
        <w:pStyle w:val="166"/>
      </w:pPr>
      <w:r>
        <w:rPr>
          <w:rFonts w:hint="eastAsia"/>
        </w:rPr>
        <w:t>成果验收一般应包括以下内容：</w:t>
      </w:r>
    </w:p>
    <w:p w14:paraId="488527BC">
      <w:pPr>
        <w:pStyle w:val="176"/>
        <w:numPr>
          <w:ilvl w:val="0"/>
          <w:numId w:val="50"/>
        </w:numPr>
      </w:pPr>
      <w:r>
        <w:rPr>
          <w:rFonts w:hint="eastAsia"/>
        </w:rPr>
        <w:t>审查报告的完整性、合理性、可靠性和实用性；</w:t>
      </w:r>
    </w:p>
    <w:p w14:paraId="375228AB">
      <w:pPr>
        <w:pStyle w:val="176"/>
      </w:pPr>
      <w:r>
        <w:rPr>
          <w:rFonts w:hint="eastAsia"/>
        </w:rPr>
        <w:t xml:space="preserve">各项实际资料的综合整理与利用程度； </w:t>
      </w:r>
    </w:p>
    <w:p w14:paraId="65EF0C00">
      <w:pPr>
        <w:pStyle w:val="176"/>
      </w:pPr>
      <w:r>
        <w:rPr>
          <w:rFonts w:hint="eastAsia"/>
        </w:rPr>
        <w:t xml:space="preserve">各项工作成果与设计书及相关规范符合性； </w:t>
      </w:r>
    </w:p>
    <w:p w14:paraId="1EAC3AB6">
      <w:pPr>
        <w:pStyle w:val="176"/>
      </w:pPr>
      <w:r>
        <w:rPr>
          <w:rFonts w:hint="eastAsia"/>
        </w:rPr>
        <w:t xml:space="preserve">报告、图件与实际资料符合性； </w:t>
      </w:r>
    </w:p>
    <w:p w14:paraId="5055225F">
      <w:pPr>
        <w:pStyle w:val="176"/>
      </w:pPr>
      <w:r>
        <w:rPr>
          <w:rFonts w:hint="eastAsia"/>
        </w:rPr>
        <w:t>各种图件的内容、要素准确性和齐全性。</w:t>
      </w:r>
    </w:p>
    <w:p w14:paraId="6D147093">
      <w:pPr>
        <w:pStyle w:val="107"/>
        <w:spacing w:before="156" w:after="156"/>
      </w:pPr>
      <w:bookmarkStart w:id="281" w:name="_Toc168321612"/>
      <w:bookmarkStart w:id="282" w:name="_Toc176194161"/>
      <w:bookmarkStart w:id="283" w:name="_Toc168092288"/>
      <w:bookmarkStart w:id="284" w:name="_Toc178172365"/>
      <w:bookmarkStart w:id="285" w:name="_Toc168087312"/>
      <w:r>
        <w:rPr>
          <w:rFonts w:hint="eastAsia"/>
        </w:rPr>
        <w:t>资料归档</w:t>
      </w:r>
      <w:bookmarkEnd w:id="281"/>
      <w:bookmarkEnd w:id="282"/>
      <w:bookmarkEnd w:id="283"/>
      <w:bookmarkEnd w:id="284"/>
      <w:bookmarkEnd w:id="285"/>
    </w:p>
    <w:p w14:paraId="0251E62B">
      <w:pPr>
        <w:pStyle w:val="58"/>
        <w:ind w:firstLine="420"/>
      </w:pPr>
      <w:r>
        <w:rPr>
          <w:rFonts w:hint="eastAsia"/>
        </w:rPr>
        <w:t>资料归档应按照《地质资料汇交规范》（DZ/T 0273）相关规定执行，遵守《涉密地质资料管理细则》以及长三角各省（市）对地质资料管理办法相关规定。</w:t>
      </w:r>
    </w:p>
    <w:p w14:paraId="40A27AC2">
      <w:pPr>
        <w:pStyle w:val="58"/>
        <w:ind w:firstLine="420"/>
      </w:pPr>
    </w:p>
    <w:p w14:paraId="2E762BE5">
      <w:pPr>
        <w:pStyle w:val="58"/>
        <w:ind w:firstLine="420"/>
      </w:pPr>
    </w:p>
    <w:p w14:paraId="17A27427">
      <w:pPr>
        <w:pStyle w:val="58"/>
        <w:ind w:firstLine="420"/>
      </w:pPr>
    </w:p>
    <w:p w14:paraId="3A32713F">
      <w:pPr>
        <w:pStyle w:val="58"/>
        <w:ind w:firstLine="420"/>
      </w:pPr>
    </w:p>
    <w:p w14:paraId="09D17B91">
      <w:pPr>
        <w:pStyle w:val="58"/>
        <w:ind w:firstLine="420"/>
      </w:pPr>
    </w:p>
    <w:p w14:paraId="5DA30439">
      <w:pPr>
        <w:pStyle w:val="58"/>
        <w:ind w:firstLine="420"/>
      </w:pPr>
    </w:p>
    <w:p w14:paraId="3AF4C32C">
      <w:pPr>
        <w:pStyle w:val="58"/>
        <w:ind w:firstLine="420"/>
      </w:pPr>
    </w:p>
    <w:p w14:paraId="64B6A05D">
      <w:pPr>
        <w:pStyle w:val="58"/>
        <w:ind w:firstLine="420"/>
      </w:pPr>
    </w:p>
    <w:p w14:paraId="02034081">
      <w:pPr>
        <w:pStyle w:val="58"/>
        <w:ind w:firstLine="420"/>
      </w:pPr>
    </w:p>
    <w:p w14:paraId="3BCB8DB7">
      <w:pPr>
        <w:pStyle w:val="58"/>
        <w:ind w:firstLine="420"/>
        <w:sectPr>
          <w:pgSz w:w="11906" w:h="16838"/>
          <w:pgMar w:top="1928" w:right="1134" w:bottom="1134" w:left="1134" w:header="1418" w:footer="1134" w:gutter="284"/>
          <w:pgNumType w:start="1"/>
          <w:cols w:space="425" w:num="1"/>
          <w:formProt w:val="0"/>
          <w:docGrid w:type="lines" w:linePitch="312" w:charSpace="0"/>
        </w:sectPr>
      </w:pPr>
    </w:p>
    <w:bookmarkEnd w:id="28"/>
    <w:p w14:paraId="743C2BCB">
      <w:pPr>
        <w:pStyle w:val="200"/>
        <w:rPr>
          <w:vanish w:val="0"/>
        </w:rPr>
      </w:pPr>
      <w:bookmarkStart w:id="286" w:name="BookMark5"/>
    </w:p>
    <w:p w14:paraId="69855392">
      <w:pPr>
        <w:pStyle w:val="201"/>
        <w:rPr>
          <w:vanish w:val="0"/>
        </w:rPr>
      </w:pPr>
    </w:p>
    <w:p w14:paraId="25D30712">
      <w:pPr>
        <w:pStyle w:val="78"/>
        <w:spacing w:after="156"/>
      </w:pPr>
      <w:r>
        <w:br w:type="textWrapping"/>
      </w:r>
      <w:bookmarkStart w:id="287" w:name="_Toc178172366"/>
      <w:bookmarkStart w:id="288" w:name="_Toc176194162"/>
      <w:r>
        <w:rPr>
          <w:rFonts w:hint="eastAsia"/>
        </w:rPr>
        <w:t>（资料性）</w:t>
      </w:r>
      <w:r>
        <w:br w:type="textWrapping"/>
      </w:r>
      <w:r>
        <w:rPr>
          <w:rFonts w:hint="eastAsia"/>
        </w:rPr>
        <w:t>地质灾害调查新技术、新方法及其适用范围</w:t>
      </w:r>
      <w:bookmarkEnd w:id="287"/>
      <w:bookmarkEnd w:id="288"/>
    </w:p>
    <w:p w14:paraId="57A41335">
      <w:pPr>
        <w:pStyle w:val="58"/>
        <w:ind w:firstLine="420"/>
      </w:pPr>
      <w:r>
        <w:rPr>
          <w:rFonts w:hint="eastAsia"/>
        </w:rPr>
        <w:t>地质灾害调查新技术、新方法及其适用范围见表A.1。InSAR技术方法及其应用条件见表A.2。</w:t>
      </w:r>
    </w:p>
    <w:p w14:paraId="008B4788">
      <w:pPr>
        <w:pStyle w:val="79"/>
        <w:spacing w:before="156" w:after="156"/>
      </w:pPr>
      <w:r>
        <w:rPr>
          <w:rFonts w:hint="eastAsia"/>
        </w:rPr>
        <w:t>表B.1 地质灾害调查新技术、新方法及其适用范围</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866"/>
        <w:gridCol w:w="1867"/>
        <w:gridCol w:w="1867"/>
        <w:gridCol w:w="1867"/>
        <w:gridCol w:w="1867"/>
      </w:tblGrid>
      <w:tr w14:paraId="0F6BAE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1F5135B3">
            <w:pPr>
              <w:pStyle w:val="180"/>
            </w:pPr>
            <w:bookmarkStart w:id="289" w:name="_Hlk168088661"/>
            <w:r>
              <w:rPr>
                <w:rFonts w:hint="eastAsia"/>
              </w:rPr>
              <w:t>方法名称</w:t>
            </w:r>
          </w:p>
        </w:tc>
        <w:tc>
          <w:tcPr>
            <w:tcW w:w="1867" w:type="dxa"/>
            <w:tcBorders>
              <w:top w:val="single" w:color="auto" w:sz="8" w:space="0"/>
              <w:bottom w:val="single" w:color="auto" w:sz="8" w:space="0"/>
            </w:tcBorders>
            <w:shd w:val="clear" w:color="auto" w:fill="auto"/>
            <w:vAlign w:val="center"/>
          </w:tcPr>
          <w:p w14:paraId="0985DA77">
            <w:pPr>
              <w:pStyle w:val="180"/>
            </w:pPr>
            <w:r>
              <w:rPr>
                <w:rFonts w:hint="eastAsia"/>
              </w:rPr>
              <w:t>原理</w:t>
            </w:r>
          </w:p>
        </w:tc>
        <w:tc>
          <w:tcPr>
            <w:tcW w:w="1867" w:type="dxa"/>
            <w:tcBorders>
              <w:top w:val="single" w:color="auto" w:sz="8" w:space="0"/>
              <w:bottom w:val="single" w:color="auto" w:sz="8" w:space="0"/>
            </w:tcBorders>
            <w:shd w:val="clear" w:color="auto" w:fill="auto"/>
            <w:vAlign w:val="center"/>
          </w:tcPr>
          <w:p w14:paraId="6F1AB0D0">
            <w:pPr>
              <w:pStyle w:val="180"/>
            </w:pPr>
            <w:r>
              <w:rPr>
                <w:rFonts w:hint="eastAsia"/>
              </w:rPr>
              <w:t>用途</w:t>
            </w:r>
          </w:p>
        </w:tc>
        <w:tc>
          <w:tcPr>
            <w:tcW w:w="1867" w:type="dxa"/>
            <w:tcBorders>
              <w:top w:val="single" w:color="auto" w:sz="8" w:space="0"/>
              <w:bottom w:val="single" w:color="auto" w:sz="8" w:space="0"/>
            </w:tcBorders>
            <w:shd w:val="clear" w:color="auto" w:fill="auto"/>
            <w:vAlign w:val="center"/>
          </w:tcPr>
          <w:p w14:paraId="6DFE147F">
            <w:pPr>
              <w:pStyle w:val="180"/>
            </w:pPr>
            <w:r>
              <w:rPr>
                <w:rFonts w:hint="eastAsia"/>
              </w:rPr>
              <w:t>适用条件</w:t>
            </w:r>
          </w:p>
        </w:tc>
        <w:tc>
          <w:tcPr>
            <w:tcW w:w="1867" w:type="dxa"/>
            <w:tcBorders>
              <w:top w:val="single" w:color="auto" w:sz="8" w:space="0"/>
              <w:bottom w:val="single" w:color="auto" w:sz="8" w:space="0"/>
            </w:tcBorders>
            <w:shd w:val="clear" w:color="auto" w:fill="auto"/>
            <w:vAlign w:val="center"/>
          </w:tcPr>
          <w:p w14:paraId="47652C92">
            <w:pPr>
              <w:pStyle w:val="180"/>
            </w:pPr>
            <w:r>
              <w:rPr>
                <w:rFonts w:hint="eastAsia"/>
              </w:rPr>
              <w:t>经济、技术特点</w:t>
            </w:r>
          </w:p>
        </w:tc>
      </w:tr>
      <w:tr w14:paraId="3B6CA2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3106366A">
            <w:pPr>
              <w:pStyle w:val="180"/>
            </w:pPr>
            <w:r>
              <w:rPr>
                <w:rFonts w:hint="eastAsia"/>
              </w:rPr>
              <w:t>合成孔径雷达干涉测量(InSAR)</w:t>
            </w:r>
          </w:p>
        </w:tc>
        <w:tc>
          <w:tcPr>
            <w:tcW w:w="1867" w:type="dxa"/>
            <w:tcBorders>
              <w:top w:val="single" w:color="auto" w:sz="8" w:space="0"/>
            </w:tcBorders>
            <w:shd w:val="clear" w:color="auto" w:fill="auto"/>
            <w:vAlign w:val="center"/>
          </w:tcPr>
          <w:p w14:paraId="56624537">
            <w:pPr>
              <w:pStyle w:val="180"/>
            </w:pPr>
            <w:r>
              <w:rPr>
                <w:rFonts w:hint="eastAsia"/>
              </w:rPr>
              <w:t>利用雷达微波反射，得到同一目标区域成像的SAR复图像对，根据干涉图的相位值，计算地表位移</w:t>
            </w:r>
          </w:p>
        </w:tc>
        <w:tc>
          <w:tcPr>
            <w:tcW w:w="1867" w:type="dxa"/>
            <w:tcBorders>
              <w:top w:val="single" w:color="auto" w:sz="8" w:space="0"/>
            </w:tcBorders>
            <w:shd w:val="clear" w:color="auto" w:fill="auto"/>
            <w:vAlign w:val="center"/>
          </w:tcPr>
          <w:p w14:paraId="13063E7A">
            <w:pPr>
              <w:pStyle w:val="180"/>
            </w:pPr>
            <w:r>
              <w:rPr>
                <w:rFonts w:hint="eastAsia"/>
              </w:rPr>
              <w:t>大范围连续跟踪地表微小形变</w:t>
            </w:r>
          </w:p>
        </w:tc>
        <w:tc>
          <w:tcPr>
            <w:tcW w:w="1867" w:type="dxa"/>
            <w:tcBorders>
              <w:top w:val="single" w:color="auto" w:sz="8" w:space="0"/>
            </w:tcBorders>
            <w:shd w:val="clear" w:color="auto" w:fill="auto"/>
            <w:vAlign w:val="center"/>
          </w:tcPr>
          <w:p w14:paraId="71978C95">
            <w:pPr>
              <w:pStyle w:val="180"/>
            </w:pPr>
            <w:r>
              <w:rPr>
                <w:rFonts w:hint="eastAsia"/>
              </w:rPr>
              <w:t>不受气象条件影响，可全天时、全天候获取数据；低植被覆盖的地区</w:t>
            </w:r>
          </w:p>
        </w:tc>
        <w:tc>
          <w:tcPr>
            <w:tcW w:w="1867" w:type="dxa"/>
            <w:tcBorders>
              <w:top w:val="single" w:color="auto" w:sz="8" w:space="0"/>
            </w:tcBorders>
            <w:shd w:val="clear" w:color="auto" w:fill="auto"/>
            <w:vAlign w:val="center"/>
          </w:tcPr>
          <w:p w14:paraId="5DF92E28">
            <w:pPr>
              <w:pStyle w:val="180"/>
            </w:pPr>
            <w:r>
              <w:rPr>
                <w:rFonts w:hint="eastAsia"/>
              </w:rPr>
              <w:t>借助卫星遥测，滤波成像技术复杂，解译难度大，成果直观，成本高</w:t>
            </w:r>
          </w:p>
        </w:tc>
      </w:tr>
      <w:tr w14:paraId="322E48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51A10186">
            <w:pPr>
              <w:pStyle w:val="180"/>
            </w:pPr>
            <w:r>
              <w:rPr>
                <w:rFonts w:hint="eastAsia"/>
              </w:rPr>
              <w:t>激光雷达测量(LiDAR)</w:t>
            </w:r>
          </w:p>
        </w:tc>
        <w:tc>
          <w:tcPr>
            <w:tcW w:w="1867" w:type="dxa"/>
            <w:shd w:val="clear" w:color="auto" w:fill="auto"/>
            <w:vAlign w:val="center"/>
          </w:tcPr>
          <w:p w14:paraId="28C4532A">
            <w:pPr>
              <w:pStyle w:val="180"/>
            </w:pPr>
            <w:r>
              <w:rPr>
                <w:rFonts w:hint="eastAsia"/>
              </w:rPr>
              <w:t>利用激光测距技术,将接收到的反射波与发射信号比较，多次回波获取地形信息</w:t>
            </w:r>
          </w:p>
        </w:tc>
        <w:tc>
          <w:tcPr>
            <w:tcW w:w="1867" w:type="dxa"/>
            <w:shd w:val="clear" w:color="auto" w:fill="auto"/>
            <w:vAlign w:val="center"/>
          </w:tcPr>
          <w:p w14:paraId="0EB731CD">
            <w:pPr>
              <w:pStyle w:val="180"/>
            </w:pPr>
            <w:r>
              <w:rPr>
                <w:rFonts w:hint="eastAsia"/>
              </w:rPr>
              <w:t>去除植被后可生成高精度DSM,有效识别山体损伤和松散堆积体等隐蔽性灾害</w:t>
            </w:r>
          </w:p>
        </w:tc>
        <w:tc>
          <w:tcPr>
            <w:tcW w:w="1867" w:type="dxa"/>
            <w:shd w:val="clear" w:color="auto" w:fill="auto"/>
            <w:vAlign w:val="center"/>
          </w:tcPr>
          <w:p w14:paraId="24FE3A26">
            <w:pPr>
              <w:pStyle w:val="180"/>
            </w:pPr>
            <w:r>
              <w:rPr>
                <w:rFonts w:hint="eastAsia"/>
              </w:rPr>
              <w:t>主要受地形和地表植被类型影响</w:t>
            </w:r>
          </w:p>
        </w:tc>
        <w:tc>
          <w:tcPr>
            <w:tcW w:w="1867" w:type="dxa"/>
            <w:shd w:val="clear" w:color="auto" w:fill="auto"/>
            <w:vAlign w:val="center"/>
          </w:tcPr>
          <w:p w14:paraId="480991E1">
            <w:pPr>
              <w:pStyle w:val="180"/>
            </w:pPr>
            <w:r>
              <w:rPr>
                <w:rFonts w:hint="eastAsia"/>
              </w:rPr>
              <w:t>设备较为轻便，数据处理较为复杂，资料直观，成本高</w:t>
            </w:r>
          </w:p>
        </w:tc>
      </w:tr>
      <w:tr w14:paraId="7142FA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34B03397">
            <w:pPr>
              <w:pStyle w:val="180"/>
            </w:pPr>
            <w:r>
              <w:rPr>
                <w:rFonts w:hint="eastAsia"/>
              </w:rPr>
              <w:t>无人机航拍</w:t>
            </w:r>
          </w:p>
        </w:tc>
        <w:tc>
          <w:tcPr>
            <w:tcW w:w="1867" w:type="dxa"/>
            <w:shd w:val="clear" w:color="auto" w:fill="auto"/>
            <w:vAlign w:val="center"/>
          </w:tcPr>
          <w:p w14:paraId="66B807FD">
            <w:pPr>
              <w:pStyle w:val="180"/>
            </w:pPr>
            <w:r>
              <w:rPr>
                <w:rFonts w:hint="eastAsia"/>
              </w:rPr>
              <w:t>利用无人飞行器对目标区域进行高空拍摄</w:t>
            </w:r>
          </w:p>
        </w:tc>
        <w:tc>
          <w:tcPr>
            <w:tcW w:w="1867" w:type="dxa"/>
            <w:shd w:val="clear" w:color="auto" w:fill="auto"/>
            <w:vAlign w:val="center"/>
          </w:tcPr>
          <w:p w14:paraId="3D175079">
            <w:pPr>
              <w:pStyle w:val="180"/>
            </w:pPr>
            <w:r>
              <w:rPr>
                <w:rFonts w:hint="eastAsia"/>
              </w:rPr>
              <w:t>获取高清晰、大比例尺的影像或测绘数据</w:t>
            </w:r>
          </w:p>
        </w:tc>
        <w:tc>
          <w:tcPr>
            <w:tcW w:w="1867" w:type="dxa"/>
            <w:shd w:val="clear" w:color="auto" w:fill="auto"/>
            <w:vAlign w:val="center"/>
          </w:tcPr>
          <w:p w14:paraId="42770A73">
            <w:pPr>
              <w:pStyle w:val="180"/>
            </w:pPr>
            <w:r>
              <w:rPr>
                <w:rFonts w:hint="eastAsia"/>
              </w:rPr>
              <w:t>受地形影响较小，需要较好的气象条件</w:t>
            </w:r>
          </w:p>
        </w:tc>
        <w:tc>
          <w:tcPr>
            <w:tcW w:w="1867" w:type="dxa"/>
            <w:shd w:val="clear" w:color="auto" w:fill="auto"/>
            <w:vAlign w:val="center"/>
          </w:tcPr>
          <w:p w14:paraId="6BD8A51B">
            <w:pPr>
              <w:pStyle w:val="180"/>
            </w:pPr>
            <w:r>
              <w:rPr>
                <w:rFonts w:hint="eastAsia"/>
              </w:rPr>
              <w:t>设备小型轻便，数据处理简单，资料直观，成本低</w:t>
            </w:r>
          </w:p>
        </w:tc>
      </w:tr>
      <w:tr w14:paraId="134B21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317E3303">
            <w:pPr>
              <w:pStyle w:val="180"/>
            </w:pPr>
            <w:r>
              <w:rPr>
                <w:rFonts w:hint="eastAsia"/>
              </w:rPr>
              <w:t>三维倾斜摄影</w:t>
            </w:r>
          </w:p>
        </w:tc>
        <w:tc>
          <w:tcPr>
            <w:tcW w:w="1867" w:type="dxa"/>
            <w:shd w:val="clear" w:color="auto" w:fill="auto"/>
            <w:vAlign w:val="center"/>
          </w:tcPr>
          <w:p w14:paraId="5177BF8C">
            <w:pPr>
              <w:pStyle w:val="180"/>
            </w:pPr>
            <w:r>
              <w:rPr>
                <w:rFonts w:hint="eastAsia"/>
              </w:rPr>
              <w:t>精细反映地质灾害地形地貌条件</w:t>
            </w:r>
          </w:p>
        </w:tc>
        <w:tc>
          <w:tcPr>
            <w:tcW w:w="1867" w:type="dxa"/>
            <w:shd w:val="clear" w:color="auto" w:fill="auto"/>
            <w:vAlign w:val="center"/>
          </w:tcPr>
          <w:p w14:paraId="79FC464E">
            <w:pPr>
              <w:pStyle w:val="180"/>
            </w:pPr>
            <w:r>
              <w:rPr>
                <w:rFonts w:hint="eastAsia"/>
              </w:rPr>
              <w:t>精细反映地质灾害地形地貌条件</w:t>
            </w:r>
          </w:p>
        </w:tc>
        <w:tc>
          <w:tcPr>
            <w:tcW w:w="1867" w:type="dxa"/>
            <w:shd w:val="clear" w:color="auto" w:fill="auto"/>
            <w:vAlign w:val="center"/>
          </w:tcPr>
          <w:p w14:paraId="5E22267B">
            <w:pPr>
              <w:pStyle w:val="180"/>
            </w:pPr>
            <w:r>
              <w:rPr>
                <w:rFonts w:hint="eastAsia"/>
              </w:rPr>
              <w:t>受地形影响较小，需要较好的气象条件</w:t>
            </w:r>
          </w:p>
        </w:tc>
        <w:tc>
          <w:tcPr>
            <w:tcW w:w="1867" w:type="dxa"/>
            <w:shd w:val="clear" w:color="auto" w:fill="auto"/>
            <w:vAlign w:val="center"/>
          </w:tcPr>
          <w:p w14:paraId="5F2B182B">
            <w:pPr>
              <w:pStyle w:val="180"/>
            </w:pPr>
            <w:r>
              <w:rPr>
                <w:rFonts w:hint="eastAsia"/>
              </w:rPr>
              <w:t>设备较为轻便，数据处理较为复杂，成本较高</w:t>
            </w:r>
          </w:p>
        </w:tc>
      </w:tr>
      <w:tr w14:paraId="0F0BA6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445143AE">
            <w:pPr>
              <w:pStyle w:val="180"/>
            </w:pPr>
            <w:r>
              <w:rPr>
                <w:rFonts w:hint="eastAsia"/>
              </w:rPr>
              <w:t>机载红外探测</w:t>
            </w:r>
          </w:p>
        </w:tc>
        <w:tc>
          <w:tcPr>
            <w:tcW w:w="1867" w:type="dxa"/>
            <w:shd w:val="clear" w:color="auto" w:fill="auto"/>
            <w:vAlign w:val="center"/>
          </w:tcPr>
          <w:p w14:paraId="7C9E40AD">
            <w:pPr>
              <w:pStyle w:val="180"/>
            </w:pPr>
            <w:r>
              <w:rPr>
                <w:rFonts w:hint="eastAsia"/>
              </w:rPr>
              <w:t>收集外界红外辐射进而聚集到红外传感器上，探测正在变形的灾害体边界</w:t>
            </w:r>
          </w:p>
        </w:tc>
        <w:tc>
          <w:tcPr>
            <w:tcW w:w="1867" w:type="dxa"/>
            <w:shd w:val="clear" w:color="auto" w:fill="auto"/>
            <w:vAlign w:val="center"/>
          </w:tcPr>
          <w:p w14:paraId="5E241E36">
            <w:pPr>
              <w:pStyle w:val="180"/>
            </w:pPr>
            <w:r>
              <w:rPr>
                <w:rFonts w:hint="eastAsia"/>
              </w:rPr>
              <w:t>探测地质灾害控制性边界条件</w:t>
            </w:r>
          </w:p>
        </w:tc>
        <w:tc>
          <w:tcPr>
            <w:tcW w:w="1867" w:type="dxa"/>
            <w:shd w:val="clear" w:color="auto" w:fill="auto"/>
            <w:vAlign w:val="center"/>
          </w:tcPr>
          <w:p w14:paraId="2AA7F714">
            <w:pPr>
              <w:pStyle w:val="180"/>
            </w:pPr>
            <w:r>
              <w:rPr>
                <w:rFonts w:hint="eastAsia"/>
              </w:rPr>
              <w:t>受地表植被类型影响，需要较好的气象条件</w:t>
            </w:r>
          </w:p>
        </w:tc>
        <w:tc>
          <w:tcPr>
            <w:tcW w:w="1867" w:type="dxa"/>
            <w:shd w:val="clear" w:color="auto" w:fill="auto"/>
            <w:vAlign w:val="center"/>
          </w:tcPr>
          <w:p w14:paraId="08BE7E9B">
            <w:pPr>
              <w:pStyle w:val="180"/>
            </w:pPr>
            <w:r>
              <w:rPr>
                <w:rFonts w:hint="eastAsia"/>
              </w:rPr>
              <w:t>设备较为轻便，数据处理较为复杂，成果直观，成本较高</w:t>
            </w:r>
          </w:p>
        </w:tc>
      </w:tr>
      <w:tr w14:paraId="1B33CB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4D030E74">
            <w:pPr>
              <w:pStyle w:val="180"/>
            </w:pPr>
            <w:r>
              <w:rPr>
                <w:rFonts w:hint="eastAsia"/>
              </w:rPr>
              <w:t>三维激光扫描</w:t>
            </w:r>
          </w:p>
        </w:tc>
        <w:tc>
          <w:tcPr>
            <w:tcW w:w="1867" w:type="dxa"/>
            <w:shd w:val="clear" w:color="auto" w:fill="auto"/>
            <w:vAlign w:val="center"/>
          </w:tcPr>
          <w:p w14:paraId="094E4DF0">
            <w:pPr>
              <w:pStyle w:val="180"/>
            </w:pPr>
            <w:r>
              <w:rPr>
                <w:rFonts w:hint="eastAsia"/>
              </w:rPr>
              <w:t>原理与LiDAR类似，利用激光测距技术，获取地形信息</w:t>
            </w:r>
          </w:p>
        </w:tc>
        <w:tc>
          <w:tcPr>
            <w:tcW w:w="1867" w:type="dxa"/>
            <w:shd w:val="clear" w:color="auto" w:fill="auto"/>
            <w:vAlign w:val="center"/>
          </w:tcPr>
          <w:p w14:paraId="1C10A2D7">
            <w:pPr>
              <w:pStyle w:val="180"/>
            </w:pPr>
            <w:r>
              <w:rPr>
                <w:rFonts w:hint="eastAsia"/>
              </w:rPr>
              <w:t>获取高精度、大比例尺地质灾害地形矢量数据</w:t>
            </w:r>
          </w:p>
        </w:tc>
        <w:tc>
          <w:tcPr>
            <w:tcW w:w="1867" w:type="dxa"/>
            <w:shd w:val="clear" w:color="auto" w:fill="auto"/>
            <w:vAlign w:val="center"/>
          </w:tcPr>
          <w:p w14:paraId="4543E3DA">
            <w:pPr>
              <w:pStyle w:val="180"/>
            </w:pPr>
            <w:r>
              <w:rPr>
                <w:rFonts w:ascii="Times New Roman"/>
                <w:szCs w:val="18"/>
              </w:rPr>
              <w:t>主要受地形和地表植被类型影响</w:t>
            </w:r>
          </w:p>
        </w:tc>
        <w:tc>
          <w:tcPr>
            <w:tcW w:w="1867" w:type="dxa"/>
            <w:shd w:val="clear" w:color="auto" w:fill="auto"/>
            <w:vAlign w:val="center"/>
          </w:tcPr>
          <w:p w14:paraId="5889028D">
            <w:pPr>
              <w:pStyle w:val="180"/>
            </w:pPr>
            <w:r>
              <w:rPr>
                <w:rFonts w:hint="eastAsia"/>
              </w:rPr>
              <w:t>设备小型轻便，数据处理较为复杂，资料直观，成本较高</w:t>
            </w:r>
          </w:p>
        </w:tc>
      </w:tr>
      <w:tr w14:paraId="5AC765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2D1A116E">
            <w:pPr>
              <w:pStyle w:val="180"/>
            </w:pPr>
            <w:r>
              <w:rPr>
                <w:rFonts w:hint="eastAsia"/>
              </w:rPr>
              <w:t>地基雷达</w:t>
            </w:r>
          </w:p>
        </w:tc>
        <w:tc>
          <w:tcPr>
            <w:tcW w:w="1867" w:type="dxa"/>
            <w:shd w:val="clear" w:color="auto" w:fill="auto"/>
            <w:vAlign w:val="center"/>
          </w:tcPr>
          <w:p w14:paraId="5C1B716A">
            <w:pPr>
              <w:pStyle w:val="180"/>
            </w:pPr>
            <w:r>
              <w:rPr>
                <w:rFonts w:hint="eastAsia"/>
              </w:rPr>
              <w:t>原理与InSAR类似，利用雷达微波反射，获取地表形变信息</w:t>
            </w:r>
          </w:p>
        </w:tc>
        <w:tc>
          <w:tcPr>
            <w:tcW w:w="1867" w:type="dxa"/>
            <w:shd w:val="clear" w:color="auto" w:fill="auto"/>
            <w:vAlign w:val="center"/>
          </w:tcPr>
          <w:p w14:paraId="23DAE226">
            <w:pPr>
              <w:pStyle w:val="180"/>
            </w:pPr>
            <w:r>
              <w:rPr>
                <w:rFonts w:hint="eastAsia"/>
              </w:rPr>
              <w:t>监测单体滑坡发展态势，适用于隐患核查、应急监测等</w:t>
            </w:r>
          </w:p>
        </w:tc>
        <w:tc>
          <w:tcPr>
            <w:tcW w:w="1867" w:type="dxa"/>
            <w:shd w:val="clear" w:color="auto" w:fill="auto"/>
            <w:vAlign w:val="center"/>
          </w:tcPr>
          <w:p w14:paraId="1F22A233">
            <w:pPr>
              <w:pStyle w:val="180"/>
            </w:pPr>
            <w:r>
              <w:rPr>
                <w:rFonts w:hint="eastAsia"/>
              </w:rPr>
              <w:t>主要受地形和电磁波影响</w:t>
            </w:r>
          </w:p>
        </w:tc>
        <w:tc>
          <w:tcPr>
            <w:tcW w:w="1867" w:type="dxa"/>
            <w:shd w:val="clear" w:color="auto" w:fill="auto"/>
            <w:vAlign w:val="center"/>
          </w:tcPr>
          <w:p w14:paraId="0EB54291">
            <w:pPr>
              <w:pStyle w:val="180"/>
            </w:pPr>
            <w:r>
              <w:rPr>
                <w:rFonts w:hint="eastAsia"/>
              </w:rPr>
              <w:t>数据处理较为复杂，资料直观，成本较高</w:t>
            </w:r>
          </w:p>
        </w:tc>
      </w:tr>
      <w:bookmarkEnd w:id="289"/>
    </w:tbl>
    <w:p w14:paraId="583273D2">
      <w:pPr>
        <w:pStyle w:val="79"/>
        <w:spacing w:before="156" w:after="156"/>
      </w:pPr>
      <w:r>
        <w:rPr>
          <w:rFonts w:hint="eastAsia"/>
        </w:rPr>
        <w:t>InSAR技术方法及其应用条件</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550"/>
        <w:gridCol w:w="1701"/>
        <w:gridCol w:w="1417"/>
        <w:gridCol w:w="1134"/>
        <w:gridCol w:w="3532"/>
      </w:tblGrid>
      <w:tr w14:paraId="1F1BB5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0" w:type="dxa"/>
            <w:tcBorders>
              <w:top w:val="single" w:color="auto" w:sz="8" w:space="0"/>
              <w:bottom w:val="single" w:color="auto" w:sz="8" w:space="0"/>
            </w:tcBorders>
            <w:shd w:val="clear" w:color="auto" w:fill="auto"/>
            <w:vAlign w:val="center"/>
          </w:tcPr>
          <w:p w14:paraId="2BB0C7A6">
            <w:pPr>
              <w:pStyle w:val="180"/>
            </w:pPr>
            <w:r>
              <w:rPr>
                <w:rFonts w:hint="eastAsia"/>
              </w:rPr>
              <w:t>方法</w:t>
            </w:r>
          </w:p>
        </w:tc>
        <w:tc>
          <w:tcPr>
            <w:tcW w:w="1701" w:type="dxa"/>
            <w:tcBorders>
              <w:top w:val="single" w:color="auto" w:sz="8" w:space="0"/>
              <w:bottom w:val="single" w:color="auto" w:sz="8" w:space="0"/>
            </w:tcBorders>
            <w:shd w:val="clear" w:color="auto" w:fill="auto"/>
            <w:vAlign w:val="center"/>
          </w:tcPr>
          <w:p w14:paraId="37E80046">
            <w:pPr>
              <w:pStyle w:val="180"/>
            </w:pPr>
            <w:r>
              <w:rPr>
                <w:rFonts w:hint="eastAsia"/>
              </w:rPr>
              <w:t>SAR数据的最少量/景</w:t>
            </w:r>
          </w:p>
        </w:tc>
        <w:tc>
          <w:tcPr>
            <w:tcW w:w="1417" w:type="dxa"/>
            <w:tcBorders>
              <w:top w:val="single" w:color="auto" w:sz="8" w:space="0"/>
              <w:bottom w:val="single" w:color="auto" w:sz="8" w:space="0"/>
            </w:tcBorders>
            <w:shd w:val="clear" w:color="auto" w:fill="auto"/>
            <w:vAlign w:val="center"/>
          </w:tcPr>
          <w:p w14:paraId="5A5F5685">
            <w:pPr>
              <w:pStyle w:val="180"/>
            </w:pPr>
            <w:r>
              <w:rPr>
                <w:rFonts w:hint="eastAsia"/>
              </w:rPr>
              <w:t>主要用途</w:t>
            </w:r>
          </w:p>
        </w:tc>
        <w:tc>
          <w:tcPr>
            <w:tcW w:w="1134" w:type="dxa"/>
            <w:tcBorders>
              <w:top w:val="single" w:color="auto" w:sz="8" w:space="0"/>
              <w:bottom w:val="single" w:color="auto" w:sz="8" w:space="0"/>
            </w:tcBorders>
            <w:shd w:val="clear" w:color="auto" w:fill="auto"/>
            <w:vAlign w:val="center"/>
          </w:tcPr>
          <w:p w14:paraId="16870509">
            <w:pPr>
              <w:pStyle w:val="180"/>
            </w:pPr>
            <w:r>
              <w:rPr>
                <w:rFonts w:hint="eastAsia"/>
              </w:rPr>
              <w:t>精度</w:t>
            </w:r>
          </w:p>
        </w:tc>
        <w:tc>
          <w:tcPr>
            <w:tcW w:w="3532" w:type="dxa"/>
            <w:tcBorders>
              <w:top w:val="single" w:color="auto" w:sz="8" w:space="0"/>
              <w:bottom w:val="single" w:color="auto" w:sz="8" w:space="0"/>
            </w:tcBorders>
            <w:shd w:val="clear" w:color="auto" w:fill="auto"/>
            <w:vAlign w:val="center"/>
          </w:tcPr>
          <w:p w14:paraId="54D8E024">
            <w:pPr>
              <w:pStyle w:val="180"/>
            </w:pPr>
            <w:r>
              <w:rPr>
                <w:rFonts w:hint="eastAsia"/>
              </w:rPr>
              <w:t>应用条件</w:t>
            </w:r>
          </w:p>
        </w:tc>
      </w:tr>
      <w:tr w14:paraId="14A3AC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vAlign w:val="center"/>
          </w:tcPr>
          <w:p w14:paraId="051EE758">
            <w:pPr>
              <w:pStyle w:val="180"/>
            </w:pPr>
            <w:r>
              <w:rPr>
                <w:rFonts w:hint="eastAsia"/>
              </w:rPr>
              <w:t>合成孔径雷达干涉测量(InSAR)</w:t>
            </w:r>
          </w:p>
        </w:tc>
        <w:tc>
          <w:tcPr>
            <w:tcW w:w="1701" w:type="dxa"/>
            <w:shd w:val="clear" w:color="auto" w:fill="auto"/>
            <w:vAlign w:val="center"/>
          </w:tcPr>
          <w:p w14:paraId="0D9DCED3">
            <w:pPr>
              <w:pStyle w:val="180"/>
            </w:pPr>
            <w:r>
              <w:rPr>
                <w:rFonts w:hint="eastAsia"/>
              </w:rPr>
              <w:t>2</w:t>
            </w:r>
          </w:p>
        </w:tc>
        <w:tc>
          <w:tcPr>
            <w:tcW w:w="1417" w:type="dxa"/>
            <w:shd w:val="clear" w:color="auto" w:fill="auto"/>
            <w:vAlign w:val="center"/>
          </w:tcPr>
          <w:p w14:paraId="7A141C70">
            <w:pPr>
              <w:pStyle w:val="180"/>
            </w:pPr>
            <w:r>
              <w:rPr>
                <w:rFonts w:hint="eastAsia"/>
              </w:rPr>
              <w:t>获取地表高程信息</w:t>
            </w:r>
          </w:p>
        </w:tc>
        <w:tc>
          <w:tcPr>
            <w:tcW w:w="1134" w:type="dxa"/>
            <w:shd w:val="clear" w:color="auto" w:fill="auto"/>
            <w:vAlign w:val="center"/>
          </w:tcPr>
          <w:p w14:paraId="7093DFD5">
            <w:pPr>
              <w:pStyle w:val="180"/>
            </w:pPr>
            <w:r>
              <w:rPr>
                <w:rFonts w:hint="eastAsia"/>
              </w:rPr>
              <w:t>小于10m</w:t>
            </w:r>
          </w:p>
        </w:tc>
        <w:tc>
          <w:tcPr>
            <w:tcW w:w="3532" w:type="dxa"/>
            <w:shd w:val="clear" w:color="auto" w:fill="auto"/>
            <w:vAlign w:val="center"/>
          </w:tcPr>
          <w:p w14:paraId="73FEE4FD">
            <w:pPr>
              <w:pStyle w:val="180"/>
            </w:pPr>
            <w:r>
              <w:rPr>
                <w:rFonts w:hint="eastAsia"/>
              </w:rPr>
              <w:t>实现全天时、全天候的对地观测，获取SAR覆盖区域的地表高程信息(DEM)</w:t>
            </w:r>
          </w:p>
        </w:tc>
      </w:tr>
      <w:tr w14:paraId="4520B9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vAlign w:val="center"/>
          </w:tcPr>
          <w:p w14:paraId="1E460652">
            <w:pPr>
              <w:pStyle w:val="180"/>
            </w:pPr>
            <w:r>
              <w:rPr>
                <w:rFonts w:hint="eastAsia"/>
              </w:rPr>
              <w:t>差分干涉合成孔径雷达（D-InSAR）</w:t>
            </w:r>
          </w:p>
        </w:tc>
        <w:tc>
          <w:tcPr>
            <w:tcW w:w="1701" w:type="dxa"/>
            <w:shd w:val="clear" w:color="auto" w:fill="auto"/>
            <w:vAlign w:val="center"/>
          </w:tcPr>
          <w:p w14:paraId="7F6D3946">
            <w:pPr>
              <w:pStyle w:val="180"/>
            </w:pPr>
            <w:r>
              <w:rPr>
                <w:rFonts w:hint="eastAsia"/>
              </w:rPr>
              <w:t>2</w:t>
            </w:r>
          </w:p>
        </w:tc>
        <w:tc>
          <w:tcPr>
            <w:tcW w:w="1417" w:type="dxa"/>
            <w:shd w:val="clear" w:color="auto" w:fill="auto"/>
            <w:vAlign w:val="center"/>
          </w:tcPr>
          <w:p w14:paraId="1C3B2932">
            <w:pPr>
              <w:pStyle w:val="180"/>
            </w:pPr>
            <w:r>
              <w:rPr>
                <w:rFonts w:hint="eastAsia"/>
              </w:rPr>
              <w:t>地表形变</w:t>
            </w:r>
          </w:p>
        </w:tc>
        <w:tc>
          <w:tcPr>
            <w:tcW w:w="1134" w:type="dxa"/>
            <w:shd w:val="clear" w:color="auto" w:fill="auto"/>
            <w:vAlign w:val="center"/>
          </w:tcPr>
          <w:p w14:paraId="24A812E5">
            <w:pPr>
              <w:pStyle w:val="180"/>
            </w:pPr>
            <w:r>
              <w:rPr>
                <w:rFonts w:hint="eastAsia"/>
              </w:rPr>
              <w:t>1cm～3cm</w:t>
            </w:r>
          </w:p>
        </w:tc>
        <w:tc>
          <w:tcPr>
            <w:tcW w:w="3532" w:type="dxa"/>
            <w:shd w:val="clear" w:color="auto" w:fill="auto"/>
            <w:vAlign w:val="center"/>
          </w:tcPr>
          <w:p w14:paraId="5EE9A9B7">
            <w:pPr>
              <w:pStyle w:val="180"/>
            </w:pPr>
            <w:r>
              <w:rPr>
                <w:rFonts w:hint="eastAsia"/>
              </w:rPr>
              <w:t>适用时间间隔短和天气/季节接近的地区，以避免受到过 多的时间去相干和大气的影响，主要适宜于沉降趋势调查</w:t>
            </w:r>
          </w:p>
        </w:tc>
      </w:tr>
      <w:tr w14:paraId="6C9E47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vAlign w:val="center"/>
          </w:tcPr>
          <w:p w14:paraId="661ACECD">
            <w:pPr>
              <w:pStyle w:val="180"/>
            </w:pPr>
            <w:r>
              <w:rPr>
                <w:rFonts w:hint="eastAsia"/>
              </w:rPr>
              <w:t>空基增强型差分干涉合成孔径雷达（SBAS）</w:t>
            </w:r>
          </w:p>
        </w:tc>
        <w:tc>
          <w:tcPr>
            <w:tcW w:w="1701" w:type="dxa"/>
            <w:shd w:val="clear" w:color="auto" w:fill="auto"/>
            <w:vAlign w:val="center"/>
          </w:tcPr>
          <w:p w14:paraId="2D7C7C52">
            <w:pPr>
              <w:pStyle w:val="180"/>
            </w:pPr>
            <w:r>
              <w:rPr>
                <w:rFonts w:hint="eastAsia"/>
              </w:rPr>
              <w:t>＞4</w:t>
            </w:r>
          </w:p>
        </w:tc>
        <w:tc>
          <w:tcPr>
            <w:tcW w:w="1417" w:type="dxa"/>
            <w:shd w:val="clear" w:color="auto" w:fill="auto"/>
            <w:vAlign w:val="center"/>
          </w:tcPr>
          <w:p w14:paraId="1BBA1435">
            <w:pPr>
              <w:pStyle w:val="180"/>
            </w:pPr>
            <w:r>
              <w:rPr>
                <w:rFonts w:hint="eastAsia"/>
              </w:rPr>
              <w:t>地表形变</w:t>
            </w:r>
          </w:p>
        </w:tc>
        <w:tc>
          <w:tcPr>
            <w:tcW w:w="1134" w:type="dxa"/>
            <w:shd w:val="clear" w:color="auto" w:fill="auto"/>
            <w:vAlign w:val="center"/>
          </w:tcPr>
          <w:p w14:paraId="4CA5F47E">
            <w:pPr>
              <w:pStyle w:val="180"/>
            </w:pPr>
            <w:r>
              <w:rPr>
                <w:rFonts w:hint="eastAsia"/>
              </w:rPr>
              <w:t>亚厘米级</w:t>
            </w:r>
          </w:p>
        </w:tc>
        <w:tc>
          <w:tcPr>
            <w:tcW w:w="3532" w:type="dxa"/>
            <w:shd w:val="clear" w:color="auto" w:fill="auto"/>
            <w:vAlign w:val="center"/>
          </w:tcPr>
          <w:p w14:paraId="15A16B4E">
            <w:pPr>
              <w:pStyle w:val="180"/>
            </w:pPr>
            <w:r>
              <w:rPr>
                <w:rFonts w:hint="eastAsia"/>
              </w:rPr>
              <w:t>通过较多的SAR干涉组合，获取地表形变时间序列信息</w:t>
            </w:r>
          </w:p>
        </w:tc>
      </w:tr>
      <w:tr w14:paraId="27CF27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vAlign w:val="center"/>
          </w:tcPr>
          <w:p w14:paraId="0F2B0F17">
            <w:pPr>
              <w:pStyle w:val="180"/>
            </w:pPr>
            <w:r>
              <w:rPr>
                <w:rFonts w:hint="eastAsia"/>
              </w:rPr>
              <w:t>极化干涉合成孔径雷达（PS-InSAE）</w:t>
            </w:r>
          </w:p>
        </w:tc>
        <w:tc>
          <w:tcPr>
            <w:tcW w:w="1701" w:type="dxa"/>
            <w:shd w:val="clear" w:color="auto" w:fill="auto"/>
            <w:vAlign w:val="center"/>
          </w:tcPr>
          <w:p w14:paraId="01EEA161">
            <w:pPr>
              <w:pStyle w:val="180"/>
            </w:pPr>
            <w:r>
              <w:rPr>
                <w:rFonts w:hint="eastAsia"/>
              </w:rPr>
              <w:t>＞25</w:t>
            </w:r>
          </w:p>
        </w:tc>
        <w:tc>
          <w:tcPr>
            <w:tcW w:w="1417" w:type="dxa"/>
            <w:shd w:val="clear" w:color="auto" w:fill="auto"/>
            <w:vAlign w:val="center"/>
          </w:tcPr>
          <w:p w14:paraId="3AB1A64F">
            <w:pPr>
              <w:pStyle w:val="180"/>
            </w:pPr>
            <w:r>
              <w:rPr>
                <w:rFonts w:hint="eastAsia"/>
              </w:rPr>
              <w:t>地表形变</w:t>
            </w:r>
          </w:p>
        </w:tc>
        <w:tc>
          <w:tcPr>
            <w:tcW w:w="1134" w:type="dxa"/>
            <w:shd w:val="clear" w:color="auto" w:fill="auto"/>
            <w:vAlign w:val="center"/>
          </w:tcPr>
          <w:p w14:paraId="4C45F4A6">
            <w:pPr>
              <w:pStyle w:val="180"/>
            </w:pPr>
            <w:r>
              <w:rPr>
                <w:rFonts w:hint="eastAsia"/>
              </w:rPr>
              <w:t>5mm</w:t>
            </w:r>
          </w:p>
        </w:tc>
        <w:tc>
          <w:tcPr>
            <w:tcW w:w="3532" w:type="dxa"/>
            <w:shd w:val="clear" w:color="auto" w:fill="auto"/>
            <w:vAlign w:val="center"/>
          </w:tcPr>
          <w:p w14:paraId="32C76DE1">
            <w:pPr>
              <w:pStyle w:val="180"/>
            </w:pPr>
            <w:r>
              <w:rPr>
                <w:rFonts w:hint="eastAsia"/>
              </w:rPr>
              <w:t>适用于时间间隔长、天气状况差异大的地区。一般要求25景影像。PS点要求城镇地区平均有10点/km</w:t>
            </w:r>
            <w:r>
              <w:rPr>
                <w:rFonts w:hint="eastAsia"/>
                <w:vertAlign w:val="superscript"/>
              </w:rPr>
              <w:t>2</w:t>
            </w:r>
            <w:r>
              <w:rPr>
                <w:rFonts w:hint="eastAsia"/>
              </w:rPr>
              <w:t>，非城镇地区有1点/km</w:t>
            </w:r>
            <w:r>
              <w:rPr>
                <w:rFonts w:hint="eastAsia"/>
                <w:vertAlign w:val="superscript"/>
              </w:rPr>
              <w:t>2</w:t>
            </w:r>
            <w:r>
              <w:rPr>
                <w:rFonts w:hint="eastAsia"/>
              </w:rPr>
              <w:t>。可以获取PS点的形变时间序列，DEM改正值和所有SAR影像的大气延迟量</w:t>
            </w:r>
          </w:p>
        </w:tc>
      </w:tr>
      <w:tr w14:paraId="46EDB3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vAlign w:val="center"/>
          </w:tcPr>
          <w:p w14:paraId="513CA5F7">
            <w:pPr>
              <w:pStyle w:val="180"/>
            </w:pPr>
            <w:r>
              <w:rPr>
                <w:rFonts w:hint="eastAsia"/>
              </w:rPr>
              <w:t>连续反射干涉合成孔径雷达</w:t>
            </w:r>
          </w:p>
          <w:p w14:paraId="1EB7C4E8">
            <w:pPr>
              <w:pStyle w:val="180"/>
            </w:pPr>
            <w:r>
              <w:rPr>
                <w:rFonts w:hint="eastAsia"/>
              </w:rPr>
              <w:t>（CR-InSAR）</w:t>
            </w:r>
          </w:p>
        </w:tc>
        <w:tc>
          <w:tcPr>
            <w:tcW w:w="1701" w:type="dxa"/>
            <w:shd w:val="clear" w:color="auto" w:fill="auto"/>
            <w:vAlign w:val="center"/>
          </w:tcPr>
          <w:p w14:paraId="0B09B966">
            <w:pPr>
              <w:pStyle w:val="180"/>
            </w:pPr>
            <w:r>
              <w:rPr>
                <w:rFonts w:hint="eastAsia"/>
              </w:rPr>
              <w:t>2</w:t>
            </w:r>
          </w:p>
        </w:tc>
        <w:tc>
          <w:tcPr>
            <w:tcW w:w="1417" w:type="dxa"/>
            <w:shd w:val="clear" w:color="auto" w:fill="auto"/>
            <w:vAlign w:val="center"/>
          </w:tcPr>
          <w:p w14:paraId="0F1A2B9D">
            <w:pPr>
              <w:pStyle w:val="180"/>
            </w:pPr>
            <w:r>
              <w:rPr>
                <w:rFonts w:hint="eastAsia"/>
              </w:rPr>
              <w:t>CR点相对形变</w:t>
            </w:r>
          </w:p>
        </w:tc>
        <w:tc>
          <w:tcPr>
            <w:tcW w:w="1134" w:type="dxa"/>
            <w:shd w:val="clear" w:color="auto" w:fill="auto"/>
            <w:vAlign w:val="center"/>
          </w:tcPr>
          <w:p w14:paraId="7A07EA4B">
            <w:pPr>
              <w:pStyle w:val="180"/>
            </w:pPr>
            <w:r>
              <w:rPr>
                <w:rFonts w:hint="eastAsia"/>
              </w:rPr>
              <w:t>2mm</w:t>
            </w:r>
          </w:p>
        </w:tc>
        <w:tc>
          <w:tcPr>
            <w:tcW w:w="3532" w:type="dxa"/>
            <w:shd w:val="clear" w:color="auto" w:fill="auto"/>
            <w:vAlign w:val="center"/>
          </w:tcPr>
          <w:p w14:paraId="1CB42B4C">
            <w:pPr>
              <w:pStyle w:val="180"/>
            </w:pPr>
            <w:r>
              <w:rPr>
                <w:rFonts w:hint="eastAsia"/>
              </w:rPr>
              <w:t>适用于植被覆盖区域的形变监测，需要按照预定的卫星 类型提前安置CR点，尤其可用于对地裂缝等空间突变灾害的监测以及植被密集区域地面沉降监测</w:t>
            </w:r>
          </w:p>
        </w:tc>
      </w:tr>
    </w:tbl>
    <w:p w14:paraId="37DCDBE8">
      <w:pPr>
        <w:pStyle w:val="58"/>
        <w:ind w:firstLine="420"/>
      </w:pPr>
    </w:p>
    <w:p w14:paraId="2B092B30">
      <w:pPr>
        <w:pStyle w:val="58"/>
        <w:ind w:firstLine="420"/>
        <w:sectPr>
          <w:pgSz w:w="11906" w:h="16838"/>
          <w:pgMar w:top="1928" w:right="1134" w:bottom="1134" w:left="1134" w:header="1418" w:footer="1134" w:gutter="284"/>
          <w:cols w:space="425" w:num="1"/>
          <w:formProt w:val="0"/>
          <w:docGrid w:type="lines" w:linePitch="312" w:charSpace="0"/>
        </w:sectPr>
      </w:pPr>
    </w:p>
    <w:p w14:paraId="14ABDE49">
      <w:pPr>
        <w:pStyle w:val="200"/>
        <w:rPr>
          <w:vanish w:val="0"/>
        </w:rPr>
      </w:pPr>
    </w:p>
    <w:p w14:paraId="061A168E">
      <w:pPr>
        <w:pStyle w:val="201"/>
        <w:rPr>
          <w:vanish w:val="0"/>
        </w:rPr>
      </w:pPr>
    </w:p>
    <w:p w14:paraId="617A3139">
      <w:pPr>
        <w:pStyle w:val="78"/>
        <w:spacing w:after="156"/>
      </w:pPr>
      <w:r>
        <w:br w:type="textWrapping"/>
      </w:r>
      <w:bookmarkStart w:id="290" w:name="_Toc176194163"/>
      <w:bookmarkStart w:id="291" w:name="_Toc178172367"/>
      <w:r>
        <w:rPr>
          <w:rFonts w:hint="eastAsia"/>
        </w:rPr>
        <w:t>（资料性）</w:t>
      </w:r>
      <w:r>
        <w:br w:type="textWrapping"/>
      </w:r>
      <w:r>
        <w:rPr>
          <w:rFonts w:hint="eastAsia"/>
        </w:rPr>
        <w:t>斜坡单元划分流程</w:t>
      </w:r>
      <w:bookmarkEnd w:id="290"/>
      <w:bookmarkEnd w:id="291"/>
    </w:p>
    <w:p w14:paraId="57155CEB">
      <w:pPr>
        <w:pStyle w:val="58"/>
        <w:ind w:firstLine="420"/>
      </w:pPr>
      <w:r>
        <w:rPr>
          <w:rFonts w:hint="eastAsia"/>
        </w:rPr>
        <w:t>主要详述基于数字高程模型（DEM）提取流域范围对工作区进行斜坡单元初步划分，再通过人机交互修正，得到最终斜坡单元划分。本文件以地理信息系统（GIS）平台为例介绍斜坡单元划分方法和思路。</w:t>
      </w:r>
    </w:p>
    <w:p w14:paraId="699A86E0">
      <w:pPr>
        <w:pStyle w:val="58"/>
        <w:ind w:firstLine="420"/>
      </w:pPr>
      <w:r>
        <w:rPr>
          <w:rFonts w:hint="eastAsia"/>
        </w:rPr>
        <w:t>一、基于GIS平台的斜坡单元预划分工作流程</w:t>
      </w:r>
    </w:p>
    <w:p w14:paraId="6835219B">
      <w:pPr>
        <w:pStyle w:val="111"/>
        <w:numPr>
          <w:ilvl w:val="1"/>
          <w:numId w:val="51"/>
        </w:numPr>
      </w:pPr>
      <w:r>
        <w:rPr>
          <w:rFonts w:hint="eastAsia"/>
        </w:rPr>
        <w:t>生成无洼地DEM；</w:t>
      </w:r>
    </w:p>
    <w:p w14:paraId="5957162B">
      <w:pPr>
        <w:pStyle w:val="111"/>
      </w:pPr>
      <w:r>
        <w:rPr>
          <w:rFonts w:hint="eastAsia"/>
        </w:rPr>
        <w:t>提取流向，得到流向栅格图；</w:t>
      </w:r>
    </w:p>
    <w:p w14:paraId="7CFA47CF">
      <w:pPr>
        <w:pStyle w:val="111"/>
      </w:pPr>
      <w:r>
        <w:rPr>
          <w:rFonts w:hint="eastAsia"/>
        </w:rPr>
        <w:t>提取流量，得到流量栅格图；</w:t>
      </w:r>
    </w:p>
    <w:p w14:paraId="28A1C863">
      <w:pPr>
        <w:pStyle w:val="111"/>
      </w:pPr>
      <w:r>
        <w:rPr>
          <w:rFonts w:hint="eastAsia"/>
        </w:rPr>
        <w:t>提取河网，得到河网栅格图；</w:t>
      </w:r>
    </w:p>
    <w:p w14:paraId="61913EED">
      <w:pPr>
        <w:pStyle w:val="111"/>
      </w:pPr>
      <w:r>
        <w:rPr>
          <w:rFonts w:hint="eastAsia"/>
        </w:rPr>
        <w:t>河流连接，得到河流连接栅格图；</w:t>
      </w:r>
    </w:p>
    <w:p w14:paraId="1C27F672">
      <w:pPr>
        <w:pStyle w:val="111"/>
      </w:pPr>
      <w:r>
        <w:rPr>
          <w:rFonts w:hint="eastAsia"/>
        </w:rPr>
        <w:t>提取集水区，得到集水区栅格图。</w:t>
      </w:r>
    </w:p>
    <w:p w14:paraId="44263FEA">
      <w:pPr>
        <w:pStyle w:val="111"/>
      </w:pPr>
      <w:r>
        <w:rPr>
          <w:rFonts w:hint="eastAsia"/>
        </w:rPr>
        <w:t>矢量化集水区，得到集水区矢量图。</w:t>
      </w:r>
    </w:p>
    <w:p w14:paraId="0A6EDF4F">
      <w:pPr>
        <w:pStyle w:val="111"/>
      </w:pPr>
      <w:r>
        <w:rPr>
          <w:rFonts w:hint="eastAsia"/>
        </w:rPr>
        <w:t>反转DEM，重复1-7步骤得到反DEM集水区矢量图；</w:t>
      </w:r>
    </w:p>
    <w:p w14:paraId="5A79915F">
      <w:pPr>
        <w:pStyle w:val="111"/>
      </w:pPr>
      <w:r>
        <w:rPr>
          <w:rFonts w:hint="eastAsia"/>
        </w:rPr>
        <w:t>叠合反DEM集水区矢量图，得到斜坡单元矢量面文件。</w:t>
      </w:r>
    </w:p>
    <w:p w14:paraId="04CAC1C8">
      <w:pPr>
        <w:pStyle w:val="58"/>
        <w:ind w:firstLine="420"/>
      </w:pPr>
      <w:r>
        <w:rPr>
          <w:rFonts w:hint="eastAsia"/>
        </w:rPr>
        <w:t>二、基于人机交互完善斜坡单元工作</w:t>
      </w:r>
    </w:p>
    <w:p w14:paraId="7178C815">
      <w:pPr>
        <w:pStyle w:val="111"/>
        <w:numPr>
          <w:ilvl w:val="1"/>
          <w:numId w:val="52"/>
        </w:numPr>
      </w:pPr>
      <w:r>
        <w:rPr>
          <w:rFonts w:hint="eastAsia"/>
        </w:rPr>
        <w:t>剔除地势平坦，发育地质灾害可能性极低的区域；</w:t>
      </w:r>
    </w:p>
    <w:p w14:paraId="41A0B0D6">
      <w:pPr>
        <w:pStyle w:val="111"/>
      </w:pPr>
      <w:r>
        <w:rPr>
          <w:rFonts w:hint="eastAsia"/>
        </w:rPr>
        <w:t>对1:2000比例尺下肉眼无法识别出的斜坡单元，与相邻单元进行合并；</w:t>
      </w:r>
    </w:p>
    <w:p w14:paraId="4CACC819">
      <w:pPr>
        <w:pStyle w:val="111"/>
      </w:pPr>
      <w:r>
        <w:rPr>
          <w:rFonts w:hint="eastAsia"/>
        </w:rPr>
        <w:t>根据行政村边界，对一个斜坡单元包含两个及以上行政村管辖范围的斜坡单元，进行再划分；</w:t>
      </w:r>
    </w:p>
    <w:p w14:paraId="08E4D8A9">
      <w:pPr>
        <w:pStyle w:val="111"/>
      </w:pPr>
      <w:r>
        <w:rPr>
          <w:rFonts w:hint="eastAsia"/>
        </w:rPr>
        <w:t>对于以往发生过沟谷型泥石流地质灾害或现存的沟谷型泥石流隐患点区域，斜坡单元进行归并，按照泥石流评价方法划定泥石流评价单元。</w:t>
      </w:r>
    </w:p>
    <w:p w14:paraId="74480E93">
      <w:pPr>
        <w:pStyle w:val="58"/>
        <w:ind w:firstLine="420"/>
      </w:pPr>
    </w:p>
    <w:p w14:paraId="3CACDEEB">
      <w:pPr>
        <w:pStyle w:val="58"/>
        <w:ind w:firstLine="420"/>
      </w:pPr>
    </w:p>
    <w:p w14:paraId="1263C1A1">
      <w:pPr>
        <w:pStyle w:val="58"/>
        <w:ind w:firstLine="420"/>
      </w:pPr>
    </w:p>
    <w:p w14:paraId="6FBD2E25">
      <w:pPr>
        <w:pStyle w:val="58"/>
        <w:ind w:firstLine="420"/>
        <w:sectPr>
          <w:pgSz w:w="11906" w:h="16838"/>
          <w:pgMar w:top="1928" w:right="1134" w:bottom="1134" w:left="1134" w:header="1418" w:footer="1134" w:gutter="284"/>
          <w:cols w:space="425" w:num="1"/>
          <w:formProt w:val="0"/>
          <w:docGrid w:type="lines" w:linePitch="312" w:charSpace="0"/>
        </w:sectPr>
      </w:pPr>
    </w:p>
    <w:p w14:paraId="49AE3869">
      <w:pPr>
        <w:pStyle w:val="200"/>
        <w:rPr>
          <w:vanish w:val="0"/>
        </w:rPr>
      </w:pPr>
    </w:p>
    <w:p w14:paraId="19AE8CE2">
      <w:pPr>
        <w:pStyle w:val="201"/>
        <w:rPr>
          <w:vanish w:val="0"/>
        </w:rPr>
      </w:pPr>
    </w:p>
    <w:p w14:paraId="63558B00">
      <w:pPr>
        <w:pStyle w:val="78"/>
        <w:spacing w:after="156"/>
      </w:pPr>
      <w:r>
        <w:br w:type="textWrapping"/>
      </w:r>
      <w:bookmarkStart w:id="292" w:name="_Toc178172368"/>
      <w:bookmarkStart w:id="293" w:name="_Toc176194164"/>
      <w:r>
        <w:rPr>
          <w:rFonts w:hint="eastAsia"/>
        </w:rPr>
        <w:t>（规范性）</w:t>
      </w:r>
      <w:r>
        <w:br w:type="textWrapping"/>
      </w:r>
      <w:r>
        <w:rPr>
          <w:rFonts w:hint="eastAsia"/>
        </w:rPr>
        <w:t>野外调查记录表</w:t>
      </w:r>
      <w:bookmarkEnd w:id="292"/>
      <w:bookmarkEnd w:id="293"/>
    </w:p>
    <w:p w14:paraId="04D88D92">
      <w:pPr>
        <w:pStyle w:val="79"/>
        <w:spacing w:before="156" w:after="156"/>
      </w:pPr>
      <w:r>
        <w:rPr>
          <w:rFonts w:hint="eastAsia"/>
        </w:rPr>
        <w:t>遥感解译及野外验证信息表</w:t>
      </w:r>
    </w:p>
    <w:tbl>
      <w:tblPr>
        <w:tblStyle w:val="28"/>
        <w:tblW w:w="87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866"/>
        <w:gridCol w:w="1349"/>
        <w:gridCol w:w="1634"/>
        <w:gridCol w:w="613"/>
        <w:gridCol w:w="420"/>
        <w:gridCol w:w="1665"/>
        <w:gridCol w:w="1542"/>
      </w:tblGrid>
      <w:tr w14:paraId="100CD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551" w:type="dxa"/>
            <w:gridSpan w:val="2"/>
            <w:tcBorders>
              <w:top w:val="single" w:color="auto" w:sz="4" w:space="0"/>
              <w:left w:val="single" w:color="auto" w:sz="4" w:space="0"/>
              <w:bottom w:val="single" w:color="auto" w:sz="4" w:space="0"/>
              <w:right w:val="single" w:color="auto" w:sz="4" w:space="0"/>
            </w:tcBorders>
            <w:vAlign w:val="center"/>
          </w:tcPr>
          <w:p w14:paraId="4E655F99">
            <w:pPr>
              <w:spacing w:line="240" w:lineRule="auto"/>
              <w:jc w:val="center"/>
              <w:rPr>
                <w:rFonts w:ascii="宋体" w:hAnsi="宋体" w:cs="宋体"/>
                <w:sz w:val="18"/>
                <w:szCs w:val="18"/>
              </w:rPr>
            </w:pPr>
            <w:r>
              <w:rPr>
                <w:rFonts w:hint="eastAsia" w:ascii="宋体" w:hAnsi="宋体" w:cs="宋体"/>
                <w:sz w:val="18"/>
                <w:szCs w:val="18"/>
              </w:rPr>
              <w:t>遥感图像编号</w:t>
            </w:r>
          </w:p>
        </w:tc>
        <w:tc>
          <w:tcPr>
            <w:tcW w:w="7223" w:type="dxa"/>
            <w:gridSpan w:val="6"/>
            <w:tcBorders>
              <w:top w:val="single" w:color="auto" w:sz="4" w:space="0"/>
              <w:left w:val="single" w:color="auto" w:sz="4" w:space="0"/>
              <w:bottom w:val="single" w:color="auto" w:sz="4" w:space="0"/>
              <w:right w:val="single" w:color="auto" w:sz="4" w:space="0"/>
            </w:tcBorders>
            <w:vAlign w:val="center"/>
          </w:tcPr>
          <w:p w14:paraId="221162ED">
            <w:pPr>
              <w:spacing w:line="240" w:lineRule="auto"/>
              <w:jc w:val="center"/>
              <w:rPr>
                <w:rFonts w:ascii="宋体" w:hAnsi="宋体" w:cs="宋体"/>
                <w:sz w:val="18"/>
                <w:szCs w:val="18"/>
              </w:rPr>
            </w:pPr>
          </w:p>
        </w:tc>
      </w:tr>
      <w:tr w14:paraId="7D987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551" w:type="dxa"/>
            <w:gridSpan w:val="2"/>
            <w:tcBorders>
              <w:top w:val="single" w:color="auto" w:sz="4" w:space="0"/>
              <w:left w:val="single" w:color="auto" w:sz="4" w:space="0"/>
              <w:bottom w:val="single" w:color="auto" w:sz="4" w:space="0"/>
              <w:right w:val="single" w:color="auto" w:sz="4" w:space="0"/>
            </w:tcBorders>
            <w:vAlign w:val="center"/>
          </w:tcPr>
          <w:p w14:paraId="57DEF9EB">
            <w:pPr>
              <w:spacing w:line="240" w:lineRule="auto"/>
              <w:jc w:val="center"/>
              <w:rPr>
                <w:rFonts w:ascii="宋体" w:hAnsi="宋体" w:cs="宋体"/>
                <w:sz w:val="18"/>
                <w:szCs w:val="18"/>
              </w:rPr>
            </w:pPr>
            <w:r>
              <w:rPr>
                <w:rFonts w:hint="eastAsia" w:ascii="宋体" w:hAnsi="宋体" w:cs="宋体"/>
                <w:sz w:val="18"/>
                <w:szCs w:val="18"/>
              </w:rPr>
              <w:t>解译点编号</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20268204">
            <w:pPr>
              <w:spacing w:line="240" w:lineRule="auto"/>
              <w:jc w:val="center"/>
              <w:rPr>
                <w:rFonts w:ascii="宋体" w:hAnsi="宋体" w:cs="宋体"/>
                <w:sz w:val="18"/>
                <w:szCs w:val="18"/>
              </w:rPr>
            </w:pPr>
          </w:p>
        </w:tc>
        <w:tc>
          <w:tcPr>
            <w:tcW w:w="1033" w:type="dxa"/>
            <w:gridSpan w:val="2"/>
            <w:tcBorders>
              <w:top w:val="single" w:color="auto" w:sz="4" w:space="0"/>
              <w:left w:val="single" w:color="auto" w:sz="4" w:space="0"/>
              <w:bottom w:val="single" w:color="auto" w:sz="4" w:space="0"/>
              <w:right w:val="single" w:color="auto" w:sz="4" w:space="0"/>
            </w:tcBorders>
            <w:vAlign w:val="center"/>
          </w:tcPr>
          <w:p w14:paraId="00569E89">
            <w:pPr>
              <w:spacing w:line="240" w:lineRule="auto"/>
              <w:jc w:val="center"/>
              <w:rPr>
                <w:rFonts w:ascii="宋体" w:hAnsi="宋体" w:cs="宋体"/>
                <w:sz w:val="18"/>
                <w:szCs w:val="18"/>
              </w:rPr>
            </w:pPr>
            <w:r>
              <w:rPr>
                <w:rFonts w:hint="eastAsia" w:ascii="宋体" w:hAnsi="宋体" w:cs="宋体"/>
                <w:sz w:val="18"/>
                <w:szCs w:val="18"/>
              </w:rPr>
              <w:t>野外编号</w:t>
            </w:r>
          </w:p>
        </w:tc>
        <w:tc>
          <w:tcPr>
            <w:tcW w:w="3207" w:type="dxa"/>
            <w:gridSpan w:val="2"/>
            <w:tcBorders>
              <w:top w:val="single" w:color="auto" w:sz="4" w:space="0"/>
              <w:left w:val="single" w:color="auto" w:sz="4" w:space="0"/>
              <w:bottom w:val="single" w:color="auto" w:sz="4" w:space="0"/>
              <w:right w:val="single" w:color="auto" w:sz="4" w:space="0"/>
            </w:tcBorders>
            <w:vAlign w:val="center"/>
          </w:tcPr>
          <w:p w14:paraId="160CA166">
            <w:pPr>
              <w:spacing w:line="240" w:lineRule="auto"/>
              <w:jc w:val="center"/>
              <w:rPr>
                <w:rFonts w:ascii="宋体" w:hAnsi="宋体" w:cs="宋体"/>
                <w:sz w:val="18"/>
                <w:szCs w:val="18"/>
              </w:rPr>
            </w:pPr>
          </w:p>
        </w:tc>
      </w:tr>
      <w:tr w14:paraId="0B64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551" w:type="dxa"/>
            <w:gridSpan w:val="2"/>
            <w:tcBorders>
              <w:top w:val="single" w:color="auto" w:sz="4" w:space="0"/>
              <w:left w:val="single" w:color="auto" w:sz="4" w:space="0"/>
              <w:bottom w:val="single" w:color="auto" w:sz="4" w:space="0"/>
              <w:right w:val="single" w:color="auto" w:sz="4" w:space="0"/>
            </w:tcBorders>
            <w:vAlign w:val="center"/>
          </w:tcPr>
          <w:p w14:paraId="5E588C7C">
            <w:pPr>
              <w:spacing w:line="240" w:lineRule="auto"/>
              <w:jc w:val="center"/>
              <w:rPr>
                <w:rFonts w:ascii="宋体" w:hAnsi="宋体" w:cs="宋体"/>
                <w:sz w:val="18"/>
                <w:szCs w:val="18"/>
              </w:rPr>
            </w:pPr>
            <w:r>
              <w:rPr>
                <w:rFonts w:hint="eastAsia" w:ascii="宋体" w:hAnsi="宋体" w:cs="宋体"/>
                <w:sz w:val="18"/>
                <w:szCs w:val="18"/>
              </w:rPr>
              <w:t>自然地理位置</w:t>
            </w:r>
          </w:p>
        </w:tc>
        <w:tc>
          <w:tcPr>
            <w:tcW w:w="7223" w:type="dxa"/>
            <w:gridSpan w:val="6"/>
            <w:tcBorders>
              <w:top w:val="single" w:color="auto" w:sz="4" w:space="0"/>
              <w:left w:val="single" w:color="auto" w:sz="4" w:space="0"/>
              <w:bottom w:val="single" w:color="auto" w:sz="4" w:space="0"/>
              <w:right w:val="single" w:color="auto" w:sz="4" w:space="0"/>
            </w:tcBorders>
            <w:vAlign w:val="center"/>
          </w:tcPr>
          <w:p w14:paraId="06126976">
            <w:pPr>
              <w:spacing w:line="240" w:lineRule="auto"/>
              <w:jc w:val="center"/>
              <w:rPr>
                <w:rFonts w:ascii="宋体" w:hAnsi="宋体" w:cs="宋体"/>
                <w:sz w:val="18"/>
                <w:szCs w:val="18"/>
              </w:rPr>
            </w:pPr>
            <w:r>
              <w:rPr>
                <w:rFonts w:hint="eastAsia" w:ascii="宋体" w:hAnsi="宋体" w:cs="宋体"/>
                <w:sz w:val="18"/>
                <w:szCs w:val="18"/>
              </w:rPr>
              <w:t xml:space="preserve">        省       市       县（市、区）         乡（镇）       村       组</w:t>
            </w:r>
          </w:p>
        </w:tc>
      </w:tr>
      <w:tr w14:paraId="4735A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551" w:type="dxa"/>
            <w:gridSpan w:val="2"/>
            <w:tcBorders>
              <w:top w:val="single" w:color="auto" w:sz="4" w:space="0"/>
              <w:left w:val="single" w:color="auto" w:sz="4" w:space="0"/>
              <w:bottom w:val="single" w:color="auto" w:sz="4" w:space="0"/>
              <w:right w:val="single" w:color="auto" w:sz="4" w:space="0"/>
            </w:tcBorders>
            <w:vAlign w:val="center"/>
          </w:tcPr>
          <w:p w14:paraId="2A10B37F">
            <w:pPr>
              <w:spacing w:line="240" w:lineRule="auto"/>
              <w:jc w:val="center"/>
              <w:rPr>
                <w:rFonts w:ascii="宋体" w:hAnsi="宋体" w:cs="宋体"/>
                <w:sz w:val="18"/>
                <w:szCs w:val="18"/>
              </w:rPr>
            </w:pPr>
            <w:r>
              <w:rPr>
                <w:rFonts w:hint="eastAsia" w:ascii="宋体" w:hAnsi="宋体" w:cs="宋体"/>
                <w:sz w:val="18"/>
                <w:szCs w:val="18"/>
              </w:rPr>
              <w:t>面积（m</w:t>
            </w:r>
            <w:r>
              <w:rPr>
                <w:rFonts w:hint="eastAsia" w:ascii="宋体" w:hAnsi="宋体" w:cs="宋体"/>
                <w:sz w:val="18"/>
                <w:szCs w:val="18"/>
                <w:vertAlign w:val="superscript"/>
              </w:rPr>
              <w:t>2</w:t>
            </w:r>
            <w:r>
              <w:rPr>
                <w:rFonts w:hint="eastAsia" w:ascii="宋体" w:hAnsi="宋体" w:cs="宋体"/>
                <w:sz w:val="18"/>
                <w:szCs w:val="18"/>
              </w:rPr>
              <w:t>）</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5DC2DCC3">
            <w:pPr>
              <w:spacing w:line="240" w:lineRule="auto"/>
              <w:jc w:val="center"/>
              <w:rPr>
                <w:rFonts w:ascii="宋体" w:hAnsi="宋体" w:cs="宋体"/>
                <w:sz w:val="18"/>
                <w:szCs w:val="18"/>
              </w:rPr>
            </w:pPr>
          </w:p>
        </w:tc>
        <w:tc>
          <w:tcPr>
            <w:tcW w:w="613" w:type="dxa"/>
            <w:vMerge w:val="restart"/>
            <w:tcBorders>
              <w:top w:val="single" w:color="auto" w:sz="4" w:space="0"/>
              <w:left w:val="single" w:color="auto" w:sz="4" w:space="0"/>
              <w:bottom w:val="single" w:color="auto" w:sz="4" w:space="0"/>
              <w:right w:val="single" w:color="auto" w:sz="4" w:space="0"/>
            </w:tcBorders>
            <w:vAlign w:val="center"/>
          </w:tcPr>
          <w:p w14:paraId="179C0593">
            <w:pPr>
              <w:spacing w:line="240" w:lineRule="auto"/>
              <w:jc w:val="center"/>
              <w:rPr>
                <w:rFonts w:ascii="宋体" w:hAnsi="宋体" w:cs="宋体"/>
                <w:sz w:val="18"/>
                <w:szCs w:val="18"/>
              </w:rPr>
            </w:pPr>
            <w:r>
              <w:rPr>
                <w:rFonts w:hint="eastAsia" w:ascii="宋体" w:hAnsi="宋体" w:cs="宋体"/>
                <w:sz w:val="18"/>
                <w:szCs w:val="18"/>
              </w:rPr>
              <w:t>遥</w:t>
            </w:r>
          </w:p>
          <w:p w14:paraId="578E9EFC">
            <w:pPr>
              <w:spacing w:line="240" w:lineRule="auto"/>
              <w:jc w:val="center"/>
              <w:rPr>
                <w:rFonts w:ascii="宋体" w:hAnsi="宋体" w:cs="宋体"/>
                <w:sz w:val="18"/>
                <w:szCs w:val="18"/>
              </w:rPr>
            </w:pPr>
          </w:p>
          <w:p w14:paraId="1576076F">
            <w:pPr>
              <w:spacing w:line="240" w:lineRule="auto"/>
              <w:jc w:val="center"/>
              <w:rPr>
                <w:rFonts w:ascii="宋体" w:hAnsi="宋体" w:cs="宋体"/>
                <w:sz w:val="18"/>
                <w:szCs w:val="18"/>
              </w:rPr>
            </w:pPr>
            <w:r>
              <w:rPr>
                <w:rFonts w:hint="eastAsia" w:ascii="宋体" w:hAnsi="宋体" w:cs="宋体"/>
                <w:sz w:val="18"/>
                <w:szCs w:val="18"/>
              </w:rPr>
              <w:t>感</w:t>
            </w:r>
          </w:p>
          <w:p w14:paraId="6C07F7A7">
            <w:pPr>
              <w:spacing w:line="240" w:lineRule="auto"/>
              <w:jc w:val="center"/>
              <w:rPr>
                <w:rFonts w:ascii="宋体" w:hAnsi="宋体" w:cs="宋体"/>
                <w:sz w:val="18"/>
                <w:szCs w:val="18"/>
              </w:rPr>
            </w:pPr>
          </w:p>
          <w:p w14:paraId="08B4A2B4">
            <w:pPr>
              <w:spacing w:line="240" w:lineRule="auto"/>
              <w:jc w:val="center"/>
              <w:rPr>
                <w:rFonts w:ascii="宋体" w:hAnsi="宋体" w:cs="宋体"/>
                <w:sz w:val="18"/>
                <w:szCs w:val="18"/>
              </w:rPr>
            </w:pPr>
            <w:r>
              <w:rPr>
                <w:rFonts w:hint="eastAsia" w:ascii="宋体" w:hAnsi="宋体" w:cs="宋体"/>
                <w:sz w:val="18"/>
                <w:szCs w:val="18"/>
              </w:rPr>
              <w:t>影</w:t>
            </w:r>
          </w:p>
          <w:p w14:paraId="14D28F90">
            <w:pPr>
              <w:spacing w:line="240" w:lineRule="auto"/>
              <w:jc w:val="center"/>
              <w:rPr>
                <w:rFonts w:ascii="宋体" w:hAnsi="宋体" w:cs="宋体"/>
                <w:sz w:val="18"/>
                <w:szCs w:val="18"/>
              </w:rPr>
            </w:pPr>
          </w:p>
          <w:p w14:paraId="6CDA3551">
            <w:pPr>
              <w:spacing w:line="240" w:lineRule="auto"/>
              <w:jc w:val="center"/>
              <w:rPr>
                <w:rFonts w:ascii="宋体" w:hAnsi="宋体" w:cs="宋体"/>
                <w:sz w:val="18"/>
                <w:szCs w:val="18"/>
              </w:rPr>
            </w:pPr>
            <w:r>
              <w:rPr>
                <w:rFonts w:hint="eastAsia" w:ascii="宋体" w:hAnsi="宋体" w:cs="宋体"/>
                <w:sz w:val="18"/>
                <w:szCs w:val="18"/>
              </w:rPr>
              <w:t>像</w:t>
            </w:r>
          </w:p>
        </w:tc>
        <w:tc>
          <w:tcPr>
            <w:tcW w:w="3627" w:type="dxa"/>
            <w:gridSpan w:val="3"/>
            <w:vMerge w:val="restart"/>
            <w:tcBorders>
              <w:top w:val="single" w:color="auto" w:sz="4" w:space="0"/>
              <w:left w:val="single" w:color="auto" w:sz="4" w:space="0"/>
              <w:bottom w:val="single" w:color="auto" w:sz="4" w:space="0"/>
              <w:right w:val="single" w:color="auto" w:sz="4" w:space="0"/>
            </w:tcBorders>
            <w:vAlign w:val="center"/>
          </w:tcPr>
          <w:p w14:paraId="0A3C5280">
            <w:pPr>
              <w:spacing w:line="240" w:lineRule="auto"/>
              <w:jc w:val="center"/>
              <w:rPr>
                <w:rFonts w:ascii="宋体" w:hAnsi="宋体" w:cs="宋体"/>
                <w:sz w:val="18"/>
                <w:szCs w:val="18"/>
              </w:rPr>
            </w:pPr>
          </w:p>
        </w:tc>
      </w:tr>
      <w:tr w14:paraId="2E2FB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551" w:type="dxa"/>
            <w:gridSpan w:val="2"/>
            <w:tcBorders>
              <w:top w:val="single" w:color="auto" w:sz="4" w:space="0"/>
              <w:left w:val="single" w:color="auto" w:sz="4" w:space="0"/>
              <w:bottom w:val="single" w:color="auto" w:sz="4" w:space="0"/>
              <w:right w:val="single" w:color="auto" w:sz="4" w:space="0"/>
            </w:tcBorders>
            <w:vAlign w:val="center"/>
          </w:tcPr>
          <w:p w14:paraId="701C329D">
            <w:pPr>
              <w:spacing w:line="240" w:lineRule="auto"/>
              <w:jc w:val="center"/>
              <w:rPr>
                <w:rFonts w:ascii="宋体" w:hAnsi="宋体" w:cs="宋体"/>
                <w:sz w:val="18"/>
                <w:szCs w:val="18"/>
              </w:rPr>
            </w:pPr>
            <w:r>
              <w:rPr>
                <w:rFonts w:hint="eastAsia" w:ascii="宋体" w:hAnsi="宋体" w:cs="宋体"/>
                <w:sz w:val="18"/>
                <w:szCs w:val="18"/>
              </w:rPr>
              <w:t>规模（10</w:t>
            </w:r>
            <w:r>
              <w:rPr>
                <w:rFonts w:hint="eastAsia" w:ascii="宋体" w:hAnsi="宋体" w:cs="宋体"/>
                <w:sz w:val="18"/>
                <w:szCs w:val="18"/>
                <w:vertAlign w:val="superscript"/>
              </w:rPr>
              <w:t>4</w:t>
            </w:r>
            <w:r>
              <w:rPr>
                <w:rFonts w:hint="eastAsia" w:ascii="宋体" w:hAnsi="宋体" w:cs="宋体"/>
                <w:sz w:val="18"/>
                <w:szCs w:val="18"/>
              </w:rPr>
              <w:t>m</w:t>
            </w:r>
            <w:r>
              <w:rPr>
                <w:rFonts w:hint="eastAsia" w:ascii="宋体" w:hAnsi="宋体" w:cs="宋体"/>
                <w:sz w:val="18"/>
                <w:szCs w:val="18"/>
                <w:vertAlign w:val="superscript"/>
              </w:rPr>
              <w:t>3</w:t>
            </w:r>
            <w:r>
              <w:rPr>
                <w:rFonts w:hint="eastAsia" w:ascii="宋体" w:hAnsi="宋体" w:cs="宋体"/>
                <w:sz w:val="18"/>
                <w:szCs w:val="18"/>
              </w:rPr>
              <w:t>）</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04CE9392">
            <w:pPr>
              <w:spacing w:line="240" w:lineRule="auto"/>
              <w:jc w:val="center"/>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03FFF620">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0D91D1F1">
            <w:pPr>
              <w:widowControl/>
              <w:spacing w:line="240" w:lineRule="auto"/>
              <w:rPr>
                <w:rFonts w:ascii="宋体" w:hAnsi="宋体" w:cs="宋体"/>
                <w:sz w:val="18"/>
                <w:szCs w:val="18"/>
              </w:rPr>
            </w:pPr>
          </w:p>
        </w:tc>
      </w:tr>
      <w:tr w14:paraId="044F0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85" w:type="dxa"/>
            <w:vMerge w:val="restart"/>
            <w:tcBorders>
              <w:top w:val="single" w:color="auto" w:sz="4" w:space="0"/>
              <w:left w:val="single" w:color="auto" w:sz="4" w:space="0"/>
              <w:bottom w:val="single" w:color="auto" w:sz="4" w:space="0"/>
              <w:right w:val="single" w:color="auto" w:sz="4" w:space="0"/>
            </w:tcBorders>
            <w:vAlign w:val="center"/>
          </w:tcPr>
          <w:p w14:paraId="7701B693">
            <w:pPr>
              <w:spacing w:line="240" w:lineRule="auto"/>
              <w:jc w:val="center"/>
              <w:rPr>
                <w:rFonts w:ascii="宋体" w:hAnsi="宋体" w:cs="宋体"/>
                <w:sz w:val="18"/>
                <w:szCs w:val="18"/>
              </w:rPr>
            </w:pPr>
            <w:r>
              <w:rPr>
                <w:rFonts w:hint="eastAsia" w:ascii="宋体" w:hAnsi="宋体" w:cs="宋体"/>
                <w:sz w:val="18"/>
                <w:szCs w:val="18"/>
              </w:rPr>
              <w:t>地理坐标</w:t>
            </w:r>
          </w:p>
        </w:tc>
        <w:tc>
          <w:tcPr>
            <w:tcW w:w="866" w:type="dxa"/>
            <w:tcBorders>
              <w:top w:val="single" w:color="auto" w:sz="4" w:space="0"/>
              <w:left w:val="single" w:color="auto" w:sz="4" w:space="0"/>
              <w:bottom w:val="single" w:color="auto" w:sz="4" w:space="0"/>
              <w:right w:val="single" w:color="auto" w:sz="4" w:space="0"/>
            </w:tcBorders>
            <w:vAlign w:val="center"/>
          </w:tcPr>
          <w:p w14:paraId="17C62EE6">
            <w:pPr>
              <w:spacing w:line="240" w:lineRule="auto"/>
              <w:jc w:val="center"/>
              <w:rPr>
                <w:rFonts w:ascii="宋体" w:hAnsi="宋体" w:cs="宋体"/>
                <w:sz w:val="18"/>
                <w:szCs w:val="18"/>
              </w:rPr>
            </w:pPr>
            <w:r>
              <w:rPr>
                <w:rFonts w:hint="eastAsia" w:ascii="宋体" w:hAnsi="宋体" w:cs="宋体"/>
                <w:sz w:val="18"/>
                <w:szCs w:val="18"/>
              </w:rPr>
              <w:t>X（m）</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2901ED05">
            <w:pPr>
              <w:spacing w:line="240" w:lineRule="auto"/>
              <w:jc w:val="center"/>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49EEACE3">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646B52A9">
            <w:pPr>
              <w:widowControl/>
              <w:spacing w:line="240" w:lineRule="auto"/>
              <w:rPr>
                <w:rFonts w:ascii="宋体" w:hAnsi="宋体" w:cs="宋体"/>
                <w:sz w:val="18"/>
                <w:szCs w:val="18"/>
              </w:rPr>
            </w:pPr>
          </w:p>
        </w:tc>
      </w:tr>
      <w:tr w14:paraId="62A42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65EDD944">
            <w:pPr>
              <w:widowControl/>
              <w:spacing w:line="240" w:lineRule="auto"/>
              <w:rPr>
                <w:rFonts w:ascii="宋体" w:hAnsi="宋体" w:cs="宋体"/>
                <w:sz w:val="18"/>
                <w:szCs w:val="18"/>
              </w:rPr>
            </w:pPr>
          </w:p>
        </w:tc>
        <w:tc>
          <w:tcPr>
            <w:tcW w:w="866" w:type="dxa"/>
            <w:tcBorders>
              <w:top w:val="single" w:color="auto" w:sz="4" w:space="0"/>
              <w:left w:val="single" w:color="auto" w:sz="4" w:space="0"/>
              <w:bottom w:val="single" w:color="auto" w:sz="4" w:space="0"/>
              <w:right w:val="single" w:color="auto" w:sz="4" w:space="0"/>
            </w:tcBorders>
            <w:vAlign w:val="center"/>
          </w:tcPr>
          <w:p w14:paraId="70B4FA70">
            <w:pPr>
              <w:spacing w:line="240" w:lineRule="auto"/>
              <w:jc w:val="center"/>
              <w:rPr>
                <w:rFonts w:ascii="宋体" w:hAnsi="宋体" w:cs="宋体"/>
                <w:sz w:val="18"/>
                <w:szCs w:val="18"/>
              </w:rPr>
            </w:pPr>
            <w:r>
              <w:rPr>
                <w:rFonts w:hint="eastAsia" w:ascii="宋体" w:hAnsi="宋体" w:cs="宋体"/>
                <w:sz w:val="18"/>
                <w:szCs w:val="18"/>
              </w:rPr>
              <w:t>Y（m）</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69F89ABD">
            <w:pPr>
              <w:spacing w:line="240" w:lineRule="auto"/>
              <w:jc w:val="center"/>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01552ED6">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3BF289FB">
            <w:pPr>
              <w:widowControl/>
              <w:spacing w:line="240" w:lineRule="auto"/>
              <w:rPr>
                <w:rFonts w:ascii="宋体" w:hAnsi="宋体" w:cs="宋体"/>
                <w:sz w:val="18"/>
                <w:szCs w:val="18"/>
              </w:rPr>
            </w:pPr>
          </w:p>
        </w:tc>
      </w:tr>
      <w:tr w14:paraId="35089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4F272BC4">
            <w:pPr>
              <w:widowControl/>
              <w:spacing w:line="240" w:lineRule="auto"/>
              <w:rPr>
                <w:rFonts w:ascii="宋体" w:hAnsi="宋体" w:cs="宋体"/>
                <w:sz w:val="18"/>
                <w:szCs w:val="18"/>
              </w:rPr>
            </w:pPr>
          </w:p>
        </w:tc>
        <w:tc>
          <w:tcPr>
            <w:tcW w:w="866" w:type="dxa"/>
            <w:tcBorders>
              <w:top w:val="single" w:color="auto" w:sz="4" w:space="0"/>
              <w:left w:val="single" w:color="auto" w:sz="4" w:space="0"/>
              <w:bottom w:val="single" w:color="auto" w:sz="4" w:space="0"/>
              <w:right w:val="single" w:color="auto" w:sz="4" w:space="0"/>
            </w:tcBorders>
            <w:vAlign w:val="center"/>
          </w:tcPr>
          <w:p w14:paraId="2CC6E7DA">
            <w:pPr>
              <w:spacing w:line="240" w:lineRule="auto"/>
              <w:jc w:val="center"/>
              <w:rPr>
                <w:rFonts w:ascii="宋体" w:hAnsi="宋体" w:cs="宋体"/>
                <w:sz w:val="18"/>
                <w:szCs w:val="18"/>
              </w:rPr>
            </w:pPr>
            <w:r>
              <w:rPr>
                <w:rFonts w:hint="eastAsia" w:ascii="宋体" w:hAnsi="宋体" w:cs="宋体"/>
                <w:sz w:val="18"/>
                <w:szCs w:val="18"/>
              </w:rPr>
              <w:t>经度</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65B97461">
            <w:pPr>
              <w:spacing w:line="240" w:lineRule="auto"/>
              <w:jc w:val="center"/>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16B29371">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5BCF2699">
            <w:pPr>
              <w:widowControl/>
              <w:spacing w:line="240" w:lineRule="auto"/>
              <w:rPr>
                <w:rFonts w:ascii="宋体" w:hAnsi="宋体" w:cs="宋体"/>
                <w:sz w:val="18"/>
                <w:szCs w:val="18"/>
              </w:rPr>
            </w:pPr>
          </w:p>
        </w:tc>
      </w:tr>
      <w:tr w14:paraId="6C1EB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26DD3073">
            <w:pPr>
              <w:widowControl/>
              <w:spacing w:line="240" w:lineRule="auto"/>
              <w:rPr>
                <w:rFonts w:ascii="宋体" w:hAnsi="宋体" w:cs="宋体"/>
                <w:sz w:val="18"/>
                <w:szCs w:val="18"/>
              </w:rPr>
            </w:pPr>
          </w:p>
        </w:tc>
        <w:tc>
          <w:tcPr>
            <w:tcW w:w="866" w:type="dxa"/>
            <w:tcBorders>
              <w:top w:val="single" w:color="auto" w:sz="4" w:space="0"/>
              <w:left w:val="single" w:color="auto" w:sz="4" w:space="0"/>
              <w:bottom w:val="single" w:color="auto" w:sz="4" w:space="0"/>
              <w:right w:val="single" w:color="auto" w:sz="4" w:space="0"/>
            </w:tcBorders>
            <w:vAlign w:val="center"/>
          </w:tcPr>
          <w:p w14:paraId="0E9871EA">
            <w:pPr>
              <w:spacing w:line="240" w:lineRule="auto"/>
              <w:jc w:val="center"/>
              <w:rPr>
                <w:rFonts w:ascii="宋体" w:hAnsi="宋体" w:cs="宋体"/>
                <w:sz w:val="18"/>
                <w:szCs w:val="18"/>
              </w:rPr>
            </w:pPr>
            <w:r>
              <w:rPr>
                <w:rFonts w:hint="eastAsia" w:ascii="宋体" w:hAnsi="宋体" w:cs="宋体"/>
                <w:sz w:val="18"/>
                <w:szCs w:val="18"/>
              </w:rPr>
              <w:t>纬度</w:t>
            </w:r>
          </w:p>
        </w:tc>
        <w:tc>
          <w:tcPr>
            <w:tcW w:w="2983" w:type="dxa"/>
            <w:gridSpan w:val="2"/>
            <w:tcBorders>
              <w:top w:val="single" w:color="auto" w:sz="4" w:space="0"/>
              <w:left w:val="single" w:color="auto" w:sz="4" w:space="0"/>
              <w:bottom w:val="single" w:color="auto" w:sz="4" w:space="0"/>
              <w:right w:val="single" w:color="auto" w:sz="4" w:space="0"/>
            </w:tcBorders>
            <w:vAlign w:val="center"/>
          </w:tcPr>
          <w:p w14:paraId="0956D216">
            <w:pPr>
              <w:spacing w:line="240" w:lineRule="auto"/>
              <w:jc w:val="center"/>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62C652AF">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6D5EE25B">
            <w:pPr>
              <w:widowControl/>
              <w:spacing w:line="240" w:lineRule="auto"/>
              <w:rPr>
                <w:rFonts w:ascii="宋体" w:hAnsi="宋体" w:cs="宋体"/>
                <w:sz w:val="18"/>
                <w:szCs w:val="18"/>
              </w:rPr>
            </w:pPr>
          </w:p>
        </w:tc>
      </w:tr>
      <w:tr w14:paraId="63091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2"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14:paraId="7104F3E2">
            <w:pPr>
              <w:spacing w:line="240" w:lineRule="auto"/>
              <w:jc w:val="center"/>
              <w:rPr>
                <w:rFonts w:ascii="宋体" w:hAnsi="宋体" w:cs="宋体"/>
                <w:sz w:val="18"/>
                <w:szCs w:val="18"/>
              </w:rPr>
            </w:pPr>
            <w:r>
              <w:rPr>
                <w:rFonts w:hint="eastAsia" w:ascii="宋体" w:hAnsi="宋体" w:cs="宋体"/>
                <w:sz w:val="18"/>
                <w:szCs w:val="18"/>
              </w:rPr>
              <w:t>解译点类型</w:t>
            </w:r>
          </w:p>
        </w:tc>
        <w:tc>
          <w:tcPr>
            <w:tcW w:w="3849" w:type="dxa"/>
            <w:gridSpan w:val="3"/>
            <w:tcBorders>
              <w:top w:val="single" w:color="auto" w:sz="4" w:space="0"/>
              <w:left w:val="single" w:color="auto" w:sz="4" w:space="0"/>
              <w:bottom w:val="single" w:color="auto" w:sz="4" w:space="0"/>
              <w:right w:val="single" w:color="auto" w:sz="4" w:space="0"/>
            </w:tcBorders>
            <w:vAlign w:val="center"/>
          </w:tcPr>
          <w:p w14:paraId="660D0C20">
            <w:pPr>
              <w:spacing w:line="240" w:lineRule="auto"/>
              <w:rPr>
                <w:rFonts w:ascii="宋体" w:hAnsi="宋体" w:cs="宋体"/>
                <w:sz w:val="18"/>
                <w:szCs w:val="18"/>
              </w:rPr>
            </w:pPr>
            <w:r>
              <w:rPr>
                <w:rFonts w:hint="eastAsia" w:ascii="宋体" w:hAnsi="宋体" w:cs="宋体"/>
                <w:sz w:val="18"/>
                <w:szCs w:val="18"/>
              </w:rPr>
              <w:t xml:space="preserve">□滑坡 □崩塌  □泥石流 </w:t>
            </w:r>
          </w:p>
          <w:p w14:paraId="1D971E8A">
            <w:pPr>
              <w:spacing w:line="240" w:lineRule="auto"/>
              <w:rPr>
                <w:rFonts w:ascii="宋体" w:hAnsi="宋体" w:cs="宋体"/>
                <w:sz w:val="18"/>
                <w:szCs w:val="18"/>
              </w:rPr>
            </w:pPr>
            <w:r>
              <w:rPr>
                <w:rFonts w:hint="eastAsia" w:ascii="宋体" w:hAnsi="宋体" w:cs="宋体"/>
                <w:sz w:val="18"/>
                <w:szCs w:val="18"/>
              </w:rPr>
              <w:t>□地面塌陷  □地裂缝  □地面沉降</w:t>
            </w:r>
          </w:p>
          <w:p w14:paraId="497B51B9">
            <w:pPr>
              <w:spacing w:line="240" w:lineRule="auto"/>
              <w:rPr>
                <w:rFonts w:ascii="宋体" w:hAnsi="宋体" w:cs="宋体"/>
                <w:sz w:val="18"/>
                <w:szCs w:val="18"/>
              </w:rPr>
            </w:pPr>
            <w:r>
              <w:rPr>
                <w:rFonts w:hint="eastAsia" w:ascii="宋体" w:hAnsi="宋体" w:cs="宋体"/>
                <w:sz w:val="18"/>
                <w:szCs w:val="18"/>
              </w:rPr>
              <w:t>□地形地貌  □地质构造  □斜坡结构</w:t>
            </w:r>
          </w:p>
          <w:p w14:paraId="1AFB0BE3">
            <w:pPr>
              <w:spacing w:line="240" w:lineRule="auto"/>
              <w:rPr>
                <w:rFonts w:ascii="宋体" w:hAnsi="宋体" w:cs="宋体"/>
                <w:sz w:val="18"/>
                <w:szCs w:val="18"/>
              </w:rPr>
            </w:pPr>
            <w:r>
              <w:rPr>
                <w:rFonts w:hint="eastAsia" w:ascii="宋体" w:hAnsi="宋体" w:cs="宋体"/>
                <w:sz w:val="18"/>
                <w:szCs w:val="18"/>
              </w:rPr>
              <w:t>□地层岩性  □土地利用  □人类工程活动</w:t>
            </w:r>
          </w:p>
          <w:p w14:paraId="2C03C999">
            <w:pPr>
              <w:spacing w:line="240" w:lineRule="auto"/>
              <w:rPr>
                <w:rFonts w:ascii="宋体" w:hAnsi="宋体" w:cs="宋体"/>
                <w:sz w:val="18"/>
                <w:szCs w:val="18"/>
              </w:rPr>
            </w:pPr>
            <w:r>
              <w:rPr>
                <w:rFonts w:hint="eastAsia" w:ascii="宋体" w:hAnsi="宋体" w:cs="宋体"/>
                <w:sz w:val="18"/>
                <w:szCs w:val="18"/>
              </w:rPr>
              <w:t>□其他</w:t>
            </w: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2859CD06">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181B1BE0">
            <w:pPr>
              <w:widowControl/>
              <w:spacing w:line="240" w:lineRule="auto"/>
              <w:rPr>
                <w:rFonts w:ascii="宋体" w:hAnsi="宋体" w:cs="宋体"/>
                <w:sz w:val="18"/>
                <w:szCs w:val="18"/>
              </w:rPr>
            </w:pPr>
          </w:p>
        </w:tc>
      </w:tr>
      <w:tr w14:paraId="28271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14:paraId="6F091B54">
            <w:pPr>
              <w:spacing w:line="240" w:lineRule="auto"/>
              <w:jc w:val="center"/>
              <w:rPr>
                <w:rFonts w:ascii="宋体" w:hAnsi="宋体" w:cs="宋体"/>
                <w:sz w:val="18"/>
                <w:szCs w:val="18"/>
              </w:rPr>
            </w:pPr>
            <w:r>
              <w:rPr>
                <w:rFonts w:hint="eastAsia" w:ascii="宋体" w:hAnsi="宋体" w:cs="宋体"/>
                <w:sz w:val="18"/>
                <w:szCs w:val="18"/>
              </w:rPr>
              <w:t>遥感影像特征</w:t>
            </w:r>
          </w:p>
        </w:tc>
        <w:tc>
          <w:tcPr>
            <w:tcW w:w="3849" w:type="dxa"/>
            <w:gridSpan w:val="3"/>
            <w:tcBorders>
              <w:top w:val="single" w:color="auto" w:sz="4" w:space="0"/>
              <w:left w:val="single" w:color="auto" w:sz="4" w:space="0"/>
              <w:bottom w:val="single" w:color="auto" w:sz="4" w:space="0"/>
              <w:right w:val="single" w:color="auto" w:sz="4" w:space="0"/>
            </w:tcBorders>
            <w:vAlign w:val="center"/>
          </w:tcPr>
          <w:p w14:paraId="4B6A61D2">
            <w:pPr>
              <w:spacing w:line="240" w:lineRule="auto"/>
              <w:rPr>
                <w:rFonts w:ascii="宋体" w:hAnsi="宋体" w:cs="宋体"/>
                <w:sz w:val="18"/>
                <w:szCs w:val="18"/>
              </w:rPr>
            </w:pPr>
          </w:p>
        </w:tc>
        <w:tc>
          <w:tcPr>
            <w:tcW w:w="613" w:type="dxa"/>
            <w:vMerge w:val="continue"/>
            <w:tcBorders>
              <w:top w:val="single" w:color="auto" w:sz="4" w:space="0"/>
              <w:left w:val="single" w:color="auto" w:sz="4" w:space="0"/>
              <w:bottom w:val="single" w:color="auto" w:sz="4" w:space="0"/>
              <w:right w:val="single" w:color="auto" w:sz="4" w:space="0"/>
            </w:tcBorders>
            <w:vAlign w:val="center"/>
          </w:tcPr>
          <w:p w14:paraId="4B379C51">
            <w:pPr>
              <w:widowControl/>
              <w:spacing w:line="240" w:lineRule="auto"/>
              <w:rPr>
                <w:rFonts w:ascii="宋体" w:hAnsi="宋体" w:cs="宋体"/>
                <w:sz w:val="18"/>
                <w:szCs w:val="18"/>
              </w:rPr>
            </w:pPr>
          </w:p>
        </w:tc>
        <w:tc>
          <w:tcPr>
            <w:tcW w:w="3627" w:type="dxa"/>
            <w:gridSpan w:val="3"/>
            <w:vMerge w:val="continue"/>
            <w:tcBorders>
              <w:top w:val="single" w:color="auto" w:sz="4" w:space="0"/>
              <w:left w:val="single" w:color="auto" w:sz="4" w:space="0"/>
              <w:bottom w:val="single" w:color="auto" w:sz="4" w:space="0"/>
              <w:right w:val="single" w:color="auto" w:sz="4" w:space="0"/>
            </w:tcBorders>
            <w:vAlign w:val="center"/>
          </w:tcPr>
          <w:p w14:paraId="2F749FE6">
            <w:pPr>
              <w:widowControl/>
              <w:spacing w:line="240" w:lineRule="auto"/>
              <w:rPr>
                <w:rFonts w:ascii="宋体" w:hAnsi="宋体" w:cs="宋体"/>
                <w:sz w:val="18"/>
                <w:szCs w:val="18"/>
              </w:rPr>
            </w:pPr>
          </w:p>
        </w:tc>
      </w:tr>
      <w:tr w14:paraId="3CA3B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14:paraId="7EBEF2EE">
            <w:pPr>
              <w:spacing w:line="240" w:lineRule="auto"/>
              <w:jc w:val="center"/>
              <w:rPr>
                <w:rFonts w:ascii="宋体" w:hAnsi="宋体" w:cs="宋体"/>
                <w:sz w:val="18"/>
                <w:szCs w:val="18"/>
              </w:rPr>
            </w:pPr>
            <w:r>
              <w:rPr>
                <w:rFonts w:hint="eastAsia" w:ascii="宋体" w:hAnsi="宋体" w:cs="宋体"/>
                <w:sz w:val="18"/>
                <w:szCs w:val="18"/>
              </w:rPr>
              <w:t>解译结果</w:t>
            </w:r>
          </w:p>
        </w:tc>
        <w:tc>
          <w:tcPr>
            <w:tcW w:w="8089" w:type="dxa"/>
            <w:gridSpan w:val="7"/>
            <w:tcBorders>
              <w:top w:val="single" w:color="auto" w:sz="4" w:space="0"/>
              <w:left w:val="single" w:color="auto" w:sz="4" w:space="0"/>
              <w:bottom w:val="single" w:color="auto" w:sz="4" w:space="0"/>
              <w:right w:val="single" w:color="auto" w:sz="4" w:space="0"/>
            </w:tcBorders>
            <w:vAlign w:val="center"/>
          </w:tcPr>
          <w:p w14:paraId="7E7A8094">
            <w:pPr>
              <w:spacing w:line="240" w:lineRule="auto"/>
              <w:rPr>
                <w:rFonts w:ascii="宋体" w:hAnsi="宋体" w:cs="宋体"/>
                <w:sz w:val="18"/>
                <w:szCs w:val="18"/>
              </w:rPr>
            </w:pPr>
          </w:p>
        </w:tc>
      </w:tr>
      <w:tr w14:paraId="24C27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5"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14:paraId="6EF6CD99">
            <w:pPr>
              <w:spacing w:line="240" w:lineRule="auto"/>
              <w:jc w:val="center"/>
              <w:rPr>
                <w:rFonts w:ascii="宋体" w:hAnsi="宋体" w:cs="宋体"/>
                <w:sz w:val="18"/>
                <w:szCs w:val="18"/>
              </w:rPr>
            </w:pPr>
            <w:r>
              <w:rPr>
                <w:rFonts w:hint="eastAsia" w:ascii="宋体" w:hAnsi="宋体" w:cs="宋体"/>
                <w:sz w:val="18"/>
                <w:szCs w:val="18"/>
              </w:rPr>
              <w:t>野外验证结果</w:t>
            </w:r>
          </w:p>
        </w:tc>
        <w:tc>
          <w:tcPr>
            <w:tcW w:w="3849" w:type="dxa"/>
            <w:gridSpan w:val="3"/>
            <w:tcBorders>
              <w:top w:val="single" w:color="auto" w:sz="4" w:space="0"/>
              <w:left w:val="single" w:color="auto" w:sz="4" w:space="0"/>
              <w:bottom w:val="single" w:color="auto" w:sz="4" w:space="0"/>
              <w:right w:val="single" w:color="auto" w:sz="4" w:space="0"/>
            </w:tcBorders>
          </w:tcPr>
          <w:p w14:paraId="0D3A4658">
            <w:pPr>
              <w:spacing w:line="240" w:lineRule="auto"/>
              <w:rPr>
                <w:rFonts w:ascii="宋体" w:hAnsi="宋体" w:cs="宋体"/>
                <w:sz w:val="18"/>
                <w:szCs w:val="18"/>
              </w:rPr>
            </w:pPr>
            <w:r>
              <w:rPr>
                <w:rFonts w:hint="eastAsia" w:ascii="宋体" w:hAnsi="宋体" w:cs="宋体"/>
                <w:sz w:val="18"/>
                <w:szCs w:val="18"/>
              </w:rPr>
              <w:t>主要对灾害类型、面积范围、规模、变形破坏情况、承灾体特征、发展趋势等进行验证。</w:t>
            </w:r>
          </w:p>
        </w:tc>
        <w:tc>
          <w:tcPr>
            <w:tcW w:w="613" w:type="dxa"/>
            <w:tcBorders>
              <w:top w:val="single" w:color="auto" w:sz="4" w:space="0"/>
              <w:left w:val="single" w:color="auto" w:sz="4" w:space="0"/>
              <w:bottom w:val="single" w:color="auto" w:sz="4" w:space="0"/>
              <w:right w:val="single" w:color="auto" w:sz="4" w:space="0"/>
            </w:tcBorders>
            <w:vAlign w:val="center"/>
          </w:tcPr>
          <w:p w14:paraId="0FA956D8">
            <w:pPr>
              <w:spacing w:line="240" w:lineRule="auto"/>
              <w:rPr>
                <w:rFonts w:ascii="宋体" w:hAnsi="宋体" w:cs="宋体"/>
                <w:sz w:val="18"/>
                <w:szCs w:val="18"/>
              </w:rPr>
            </w:pPr>
            <w:r>
              <w:rPr>
                <w:rFonts w:hint="eastAsia" w:ascii="宋体" w:hAnsi="宋体" w:cs="宋体"/>
                <w:sz w:val="18"/>
                <w:szCs w:val="18"/>
              </w:rPr>
              <w:t>野外验证照片</w:t>
            </w:r>
          </w:p>
        </w:tc>
        <w:tc>
          <w:tcPr>
            <w:tcW w:w="3627" w:type="dxa"/>
            <w:gridSpan w:val="3"/>
            <w:tcBorders>
              <w:top w:val="single" w:color="auto" w:sz="4" w:space="0"/>
              <w:left w:val="single" w:color="auto" w:sz="4" w:space="0"/>
              <w:bottom w:val="single" w:color="auto" w:sz="4" w:space="0"/>
              <w:right w:val="single" w:color="auto" w:sz="4" w:space="0"/>
            </w:tcBorders>
            <w:vAlign w:val="center"/>
          </w:tcPr>
          <w:p w14:paraId="6E754AC6">
            <w:pPr>
              <w:spacing w:line="240" w:lineRule="auto"/>
              <w:rPr>
                <w:rFonts w:ascii="宋体" w:hAnsi="宋体" w:cs="宋体"/>
                <w:sz w:val="18"/>
                <w:szCs w:val="18"/>
              </w:rPr>
            </w:pPr>
          </w:p>
        </w:tc>
      </w:tr>
      <w:tr w14:paraId="67BF5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14:paraId="52897180">
            <w:pPr>
              <w:spacing w:line="240" w:lineRule="auto"/>
              <w:jc w:val="center"/>
              <w:rPr>
                <w:rFonts w:ascii="宋体" w:hAnsi="宋体" w:cs="宋体"/>
                <w:sz w:val="18"/>
                <w:szCs w:val="18"/>
              </w:rPr>
            </w:pPr>
            <w:r>
              <w:rPr>
                <w:rFonts w:hint="eastAsia" w:ascii="宋体" w:hAnsi="宋体" w:cs="宋体"/>
                <w:sz w:val="18"/>
                <w:szCs w:val="18"/>
              </w:rPr>
              <w:t>核查与否</w:t>
            </w:r>
          </w:p>
        </w:tc>
        <w:tc>
          <w:tcPr>
            <w:tcW w:w="2215" w:type="dxa"/>
            <w:gridSpan w:val="2"/>
            <w:tcBorders>
              <w:top w:val="single" w:color="auto" w:sz="4" w:space="0"/>
              <w:left w:val="single" w:color="auto" w:sz="4" w:space="0"/>
              <w:bottom w:val="single" w:color="auto" w:sz="4" w:space="0"/>
              <w:right w:val="single" w:color="auto" w:sz="4" w:space="0"/>
            </w:tcBorders>
            <w:vAlign w:val="center"/>
          </w:tcPr>
          <w:p w14:paraId="7DD41D34">
            <w:pPr>
              <w:spacing w:line="240" w:lineRule="auto"/>
              <w:rPr>
                <w:rFonts w:ascii="宋体" w:hAnsi="宋体" w:cs="宋体"/>
                <w:sz w:val="18"/>
                <w:szCs w:val="18"/>
              </w:rPr>
            </w:pPr>
            <w:r>
              <w:rPr>
                <w:rFonts w:hint="eastAsia" w:ascii="宋体" w:hAnsi="宋体" w:cs="宋体"/>
                <w:sz w:val="18"/>
                <w:szCs w:val="18"/>
              </w:rPr>
              <w:t>□核查  □未核查</w:t>
            </w:r>
          </w:p>
        </w:tc>
        <w:tc>
          <w:tcPr>
            <w:tcW w:w="1634" w:type="dxa"/>
            <w:tcBorders>
              <w:top w:val="single" w:color="auto" w:sz="4" w:space="0"/>
              <w:left w:val="single" w:color="auto" w:sz="4" w:space="0"/>
              <w:bottom w:val="single" w:color="auto" w:sz="4" w:space="0"/>
              <w:right w:val="single" w:color="auto" w:sz="4" w:space="0"/>
            </w:tcBorders>
            <w:vAlign w:val="center"/>
          </w:tcPr>
          <w:p w14:paraId="4D714EB3">
            <w:pPr>
              <w:spacing w:line="240" w:lineRule="auto"/>
              <w:rPr>
                <w:rFonts w:ascii="宋体" w:hAnsi="宋体" w:cs="宋体"/>
                <w:sz w:val="18"/>
                <w:szCs w:val="18"/>
              </w:rPr>
            </w:pPr>
            <w:r>
              <w:rPr>
                <w:rFonts w:hint="eastAsia" w:ascii="宋体" w:hAnsi="宋体" w:cs="宋体"/>
                <w:sz w:val="18"/>
                <w:szCs w:val="18"/>
              </w:rPr>
              <w:t>审核人</w:t>
            </w:r>
          </w:p>
        </w:tc>
        <w:tc>
          <w:tcPr>
            <w:tcW w:w="613" w:type="dxa"/>
            <w:tcBorders>
              <w:top w:val="single" w:color="auto" w:sz="4" w:space="0"/>
              <w:left w:val="single" w:color="auto" w:sz="4" w:space="0"/>
              <w:bottom w:val="single" w:color="auto" w:sz="4" w:space="0"/>
              <w:right w:val="single" w:color="auto" w:sz="4" w:space="0"/>
            </w:tcBorders>
            <w:vAlign w:val="center"/>
          </w:tcPr>
          <w:p w14:paraId="0EE4F7C8">
            <w:pPr>
              <w:spacing w:line="240" w:lineRule="auto"/>
              <w:rPr>
                <w:rFonts w:ascii="宋体" w:hAnsi="宋体" w:cs="宋体"/>
                <w:sz w:val="18"/>
                <w:szCs w:val="18"/>
              </w:rPr>
            </w:pPr>
          </w:p>
        </w:tc>
        <w:tc>
          <w:tcPr>
            <w:tcW w:w="2085" w:type="dxa"/>
            <w:gridSpan w:val="2"/>
            <w:tcBorders>
              <w:top w:val="single" w:color="auto" w:sz="4" w:space="0"/>
              <w:left w:val="single" w:color="auto" w:sz="4" w:space="0"/>
              <w:bottom w:val="single" w:color="auto" w:sz="4" w:space="0"/>
              <w:right w:val="single" w:color="auto" w:sz="4" w:space="0"/>
            </w:tcBorders>
            <w:vAlign w:val="center"/>
          </w:tcPr>
          <w:p w14:paraId="01026377">
            <w:pPr>
              <w:spacing w:line="240" w:lineRule="auto"/>
              <w:rPr>
                <w:rFonts w:ascii="宋体" w:hAnsi="宋体" w:cs="宋体"/>
                <w:sz w:val="18"/>
                <w:szCs w:val="18"/>
              </w:rPr>
            </w:pPr>
            <w:r>
              <w:rPr>
                <w:rFonts w:hint="eastAsia" w:ascii="宋体" w:hAnsi="宋体" w:cs="宋体"/>
                <w:sz w:val="18"/>
                <w:szCs w:val="18"/>
              </w:rPr>
              <w:t>顺序号</w:t>
            </w:r>
          </w:p>
        </w:tc>
        <w:tc>
          <w:tcPr>
            <w:tcW w:w="1542" w:type="dxa"/>
            <w:tcBorders>
              <w:top w:val="single" w:color="auto" w:sz="4" w:space="0"/>
              <w:left w:val="single" w:color="auto" w:sz="4" w:space="0"/>
              <w:bottom w:val="single" w:color="auto" w:sz="4" w:space="0"/>
              <w:right w:val="single" w:color="auto" w:sz="4" w:space="0"/>
            </w:tcBorders>
            <w:vAlign w:val="center"/>
          </w:tcPr>
          <w:p w14:paraId="53AE7B5C">
            <w:pPr>
              <w:spacing w:line="240" w:lineRule="auto"/>
              <w:rPr>
                <w:rFonts w:ascii="宋体" w:hAnsi="宋体" w:cs="宋体"/>
                <w:sz w:val="18"/>
                <w:szCs w:val="18"/>
              </w:rPr>
            </w:pPr>
          </w:p>
        </w:tc>
      </w:tr>
    </w:tbl>
    <w:p w14:paraId="5341E92E">
      <w:pPr>
        <w:pStyle w:val="58"/>
        <w:ind w:firstLine="360"/>
        <w:rPr>
          <w:sz w:val="18"/>
          <w:szCs w:val="18"/>
        </w:rPr>
      </w:pPr>
      <w:r>
        <w:rPr>
          <w:rFonts w:hint="eastAsia"/>
          <w:sz w:val="18"/>
          <w:szCs w:val="18"/>
        </w:rPr>
        <w:t>项目负责：                       解译人：                                    验证人：</w:t>
      </w:r>
    </w:p>
    <w:p w14:paraId="0F52671C">
      <w:pPr>
        <w:pStyle w:val="58"/>
        <w:ind w:firstLine="360"/>
        <w:rPr>
          <w:sz w:val="18"/>
          <w:szCs w:val="18"/>
        </w:rPr>
      </w:pPr>
      <w:r>
        <w:rPr>
          <w:rFonts w:hint="eastAsia"/>
          <w:sz w:val="18"/>
          <w:szCs w:val="18"/>
        </w:rPr>
        <w:t>解译时间：                       解译单位：                                验证时间：</w:t>
      </w:r>
    </w:p>
    <w:p w14:paraId="25DE3423">
      <w:pPr>
        <w:pStyle w:val="58"/>
        <w:ind w:firstLine="420"/>
      </w:pPr>
    </w:p>
    <w:p w14:paraId="263126EE">
      <w:pPr>
        <w:pStyle w:val="79"/>
        <w:spacing w:before="156" w:after="156"/>
      </w:pPr>
      <w:r>
        <w:rPr>
          <w:rFonts w:hint="eastAsia"/>
        </w:rPr>
        <w:t>斜坡孕灾地质条件调查记录表</w:t>
      </w:r>
    </w:p>
    <w:tbl>
      <w:tblPr>
        <w:tblStyle w:val="28"/>
        <w:tblW w:w="9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8"/>
        <w:gridCol w:w="1092"/>
        <w:gridCol w:w="495"/>
        <w:gridCol w:w="563"/>
        <w:gridCol w:w="820"/>
        <w:gridCol w:w="87"/>
        <w:gridCol w:w="960"/>
        <w:gridCol w:w="412"/>
        <w:gridCol w:w="476"/>
        <w:gridCol w:w="507"/>
        <w:gridCol w:w="445"/>
        <w:gridCol w:w="778"/>
        <w:gridCol w:w="492"/>
        <w:gridCol w:w="1270"/>
      </w:tblGrid>
      <w:tr w14:paraId="0022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68" w:type="dxa"/>
            <w:vAlign w:val="center"/>
          </w:tcPr>
          <w:p w14:paraId="5276E4C8">
            <w:pPr>
              <w:spacing w:line="240" w:lineRule="auto"/>
              <w:jc w:val="center"/>
              <w:rPr>
                <w:rFonts w:ascii="Times New Roman" w:hAnsi="Times New Roman"/>
                <w:sz w:val="18"/>
                <w:szCs w:val="18"/>
              </w:rPr>
            </w:pPr>
            <w:r>
              <w:rPr>
                <w:rFonts w:ascii="Times New Roman" w:hAnsi="Times New Roman"/>
                <w:sz w:val="18"/>
                <w:szCs w:val="18"/>
              </w:rPr>
              <w:t>统一编号</w:t>
            </w:r>
          </w:p>
        </w:tc>
        <w:tc>
          <w:tcPr>
            <w:tcW w:w="3057" w:type="dxa"/>
            <w:gridSpan w:val="5"/>
            <w:vAlign w:val="center"/>
          </w:tcPr>
          <w:p w14:paraId="3633BE2C">
            <w:pPr>
              <w:spacing w:line="240" w:lineRule="auto"/>
              <w:jc w:val="center"/>
              <w:rPr>
                <w:rFonts w:ascii="Times New Roman" w:hAnsi="Times New Roman"/>
                <w:sz w:val="18"/>
                <w:szCs w:val="18"/>
              </w:rPr>
            </w:pPr>
          </w:p>
        </w:tc>
        <w:tc>
          <w:tcPr>
            <w:tcW w:w="960" w:type="dxa"/>
            <w:vAlign w:val="center"/>
          </w:tcPr>
          <w:p w14:paraId="7A137EF0">
            <w:pPr>
              <w:spacing w:line="240" w:lineRule="auto"/>
              <w:jc w:val="center"/>
              <w:rPr>
                <w:rFonts w:ascii="Times New Roman" w:hAnsi="Times New Roman"/>
                <w:sz w:val="18"/>
                <w:szCs w:val="18"/>
              </w:rPr>
            </w:pPr>
            <w:r>
              <w:rPr>
                <w:rFonts w:ascii="Times New Roman" w:hAnsi="Times New Roman"/>
                <w:sz w:val="18"/>
                <w:szCs w:val="18"/>
              </w:rPr>
              <w:t>野外编号</w:t>
            </w:r>
          </w:p>
        </w:tc>
        <w:tc>
          <w:tcPr>
            <w:tcW w:w="4380" w:type="dxa"/>
            <w:gridSpan w:val="7"/>
            <w:vAlign w:val="center"/>
          </w:tcPr>
          <w:p w14:paraId="58F9BF09">
            <w:pPr>
              <w:spacing w:line="240" w:lineRule="auto"/>
              <w:rPr>
                <w:rFonts w:ascii="Times New Roman" w:hAnsi="Times New Roman"/>
                <w:sz w:val="18"/>
                <w:szCs w:val="18"/>
              </w:rPr>
            </w:pPr>
          </w:p>
        </w:tc>
      </w:tr>
      <w:tr w14:paraId="130A0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68" w:type="dxa"/>
            <w:vAlign w:val="center"/>
          </w:tcPr>
          <w:p w14:paraId="4E690DDB">
            <w:pPr>
              <w:spacing w:line="240" w:lineRule="auto"/>
              <w:jc w:val="center"/>
              <w:rPr>
                <w:rFonts w:ascii="Times New Roman" w:hAnsi="Times New Roman"/>
                <w:sz w:val="18"/>
                <w:szCs w:val="18"/>
              </w:rPr>
            </w:pPr>
            <w:r>
              <w:rPr>
                <w:rFonts w:hint="eastAsia" w:ascii="Times New Roman" w:hAnsi="Times New Roman"/>
                <w:sz w:val="18"/>
                <w:szCs w:val="18"/>
              </w:rPr>
              <w:t>名称</w:t>
            </w:r>
          </w:p>
        </w:tc>
        <w:tc>
          <w:tcPr>
            <w:tcW w:w="8397" w:type="dxa"/>
            <w:gridSpan w:val="13"/>
            <w:vAlign w:val="center"/>
          </w:tcPr>
          <w:p w14:paraId="2F455CE8">
            <w:pPr>
              <w:spacing w:line="240" w:lineRule="auto"/>
              <w:rPr>
                <w:rFonts w:ascii="Times New Roman" w:hAnsi="Times New Roman"/>
                <w:sz w:val="18"/>
                <w:szCs w:val="18"/>
              </w:rPr>
            </w:pPr>
          </w:p>
        </w:tc>
      </w:tr>
      <w:tr w14:paraId="55885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68" w:type="dxa"/>
            <w:vAlign w:val="center"/>
          </w:tcPr>
          <w:p w14:paraId="03303911">
            <w:pPr>
              <w:spacing w:line="240" w:lineRule="auto"/>
              <w:jc w:val="center"/>
              <w:rPr>
                <w:rFonts w:ascii="Times New Roman" w:hAnsi="Times New Roman"/>
                <w:sz w:val="18"/>
                <w:szCs w:val="18"/>
              </w:rPr>
            </w:pPr>
            <w:r>
              <w:rPr>
                <w:rFonts w:hint="eastAsia" w:ascii="Times New Roman" w:hAnsi="Times New Roman"/>
                <w:sz w:val="18"/>
                <w:szCs w:val="18"/>
              </w:rPr>
              <w:t>地理位置</w:t>
            </w:r>
          </w:p>
        </w:tc>
        <w:tc>
          <w:tcPr>
            <w:tcW w:w="8397" w:type="dxa"/>
            <w:gridSpan w:val="13"/>
            <w:vAlign w:val="center"/>
          </w:tcPr>
          <w:p w14:paraId="6C09F852">
            <w:pPr>
              <w:spacing w:line="240" w:lineRule="auto"/>
              <w:ind w:firstLine="1080" w:firstLineChars="600"/>
              <w:rPr>
                <w:rFonts w:ascii="Times New Roman" w:hAnsi="Times New Roman"/>
                <w:sz w:val="18"/>
                <w:szCs w:val="18"/>
              </w:rPr>
            </w:pPr>
            <w:r>
              <w:rPr>
                <w:rFonts w:ascii="Times New Roman" w:hAnsi="Times New Roman"/>
                <w:sz w:val="18"/>
                <w:szCs w:val="18"/>
              </w:rPr>
              <w:t>省           市          县（市、区）         乡          村           组</w:t>
            </w:r>
          </w:p>
        </w:tc>
      </w:tr>
      <w:tr w14:paraId="0C631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68" w:type="dxa"/>
            <w:vMerge w:val="restart"/>
            <w:vAlign w:val="center"/>
          </w:tcPr>
          <w:p w14:paraId="6A584AA3">
            <w:pPr>
              <w:spacing w:line="240" w:lineRule="auto"/>
              <w:jc w:val="center"/>
              <w:rPr>
                <w:rFonts w:ascii="Times New Roman" w:hAnsi="Times New Roman"/>
                <w:sz w:val="18"/>
                <w:szCs w:val="18"/>
              </w:rPr>
            </w:pPr>
            <w:r>
              <w:rPr>
                <w:rFonts w:hint="eastAsia" w:ascii="Times New Roman" w:hAnsi="Times New Roman"/>
                <w:sz w:val="18"/>
                <w:szCs w:val="18"/>
              </w:rPr>
              <w:t>坐标</w:t>
            </w:r>
          </w:p>
        </w:tc>
        <w:tc>
          <w:tcPr>
            <w:tcW w:w="1092" w:type="dxa"/>
            <w:vAlign w:val="center"/>
          </w:tcPr>
          <w:p w14:paraId="58344D18">
            <w:pPr>
              <w:spacing w:line="240" w:lineRule="auto"/>
              <w:jc w:val="center"/>
              <w:rPr>
                <w:rFonts w:ascii="Times New Roman" w:hAnsi="Times New Roman"/>
                <w:sz w:val="18"/>
                <w:szCs w:val="18"/>
              </w:rPr>
            </w:pPr>
            <w:r>
              <w:rPr>
                <w:rFonts w:ascii="Times New Roman" w:hAnsi="Times New Roman"/>
                <w:sz w:val="18"/>
                <w:szCs w:val="18"/>
              </w:rPr>
              <w:t>经度</w:t>
            </w:r>
          </w:p>
        </w:tc>
        <w:tc>
          <w:tcPr>
            <w:tcW w:w="2925" w:type="dxa"/>
            <w:gridSpan w:val="5"/>
            <w:vAlign w:val="center"/>
          </w:tcPr>
          <w:p w14:paraId="697E718D">
            <w:pPr>
              <w:spacing w:line="240" w:lineRule="auto"/>
              <w:jc w:val="center"/>
              <w:rPr>
                <w:rFonts w:ascii="Times New Roman" w:hAnsi="Times New Roman"/>
                <w:sz w:val="18"/>
                <w:szCs w:val="18"/>
              </w:rPr>
            </w:pPr>
            <w:r>
              <w:rPr>
                <w:rFonts w:ascii="Times New Roman" w:hAnsi="Times New Roman"/>
                <w:sz w:val="18"/>
                <w:szCs w:val="18"/>
              </w:rPr>
              <w:t>°        ′       ″</w:t>
            </w:r>
          </w:p>
        </w:tc>
        <w:tc>
          <w:tcPr>
            <w:tcW w:w="1395" w:type="dxa"/>
            <w:gridSpan w:val="3"/>
            <w:vAlign w:val="center"/>
          </w:tcPr>
          <w:p w14:paraId="32D71447">
            <w:pPr>
              <w:spacing w:line="240" w:lineRule="auto"/>
              <w:jc w:val="center"/>
              <w:rPr>
                <w:rFonts w:ascii="Times New Roman" w:hAnsi="Times New Roman"/>
                <w:sz w:val="18"/>
                <w:szCs w:val="18"/>
              </w:rPr>
            </w:pPr>
            <w:r>
              <w:rPr>
                <w:rFonts w:ascii="Times New Roman" w:hAnsi="Times New Roman"/>
                <w:sz w:val="18"/>
                <w:szCs w:val="18"/>
              </w:rPr>
              <w:t>纬度</w:t>
            </w:r>
          </w:p>
        </w:tc>
        <w:tc>
          <w:tcPr>
            <w:tcW w:w="2985" w:type="dxa"/>
            <w:gridSpan w:val="4"/>
            <w:vAlign w:val="center"/>
          </w:tcPr>
          <w:p w14:paraId="0031AA69">
            <w:pPr>
              <w:spacing w:line="240" w:lineRule="auto"/>
              <w:jc w:val="center"/>
              <w:rPr>
                <w:rFonts w:ascii="Times New Roman" w:hAnsi="Times New Roman"/>
                <w:sz w:val="18"/>
                <w:szCs w:val="18"/>
              </w:rPr>
            </w:pPr>
            <w:r>
              <w:rPr>
                <w:rFonts w:ascii="Times New Roman" w:hAnsi="Times New Roman"/>
                <w:sz w:val="18"/>
                <w:szCs w:val="18"/>
              </w:rPr>
              <w:t>°        ′       ″</w:t>
            </w:r>
          </w:p>
        </w:tc>
      </w:tr>
      <w:tr w14:paraId="3D5B7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68" w:type="dxa"/>
            <w:vMerge w:val="continue"/>
            <w:vAlign w:val="center"/>
          </w:tcPr>
          <w:p w14:paraId="5173F4F7">
            <w:pPr>
              <w:spacing w:line="240" w:lineRule="auto"/>
              <w:jc w:val="center"/>
              <w:rPr>
                <w:rFonts w:ascii="Times New Roman" w:hAnsi="Times New Roman"/>
                <w:sz w:val="18"/>
                <w:szCs w:val="18"/>
              </w:rPr>
            </w:pPr>
          </w:p>
        </w:tc>
        <w:tc>
          <w:tcPr>
            <w:tcW w:w="1092" w:type="dxa"/>
            <w:vAlign w:val="center"/>
          </w:tcPr>
          <w:p w14:paraId="68898348">
            <w:pPr>
              <w:spacing w:line="240" w:lineRule="auto"/>
              <w:jc w:val="center"/>
              <w:rPr>
                <w:rFonts w:ascii="Times New Roman" w:hAnsi="Times New Roman"/>
                <w:sz w:val="18"/>
                <w:szCs w:val="18"/>
              </w:rPr>
            </w:pPr>
            <w:r>
              <w:rPr>
                <w:rFonts w:ascii="Times New Roman" w:hAnsi="Times New Roman"/>
                <w:sz w:val="18"/>
                <w:szCs w:val="18"/>
              </w:rPr>
              <w:t>X</w:t>
            </w:r>
          </w:p>
        </w:tc>
        <w:tc>
          <w:tcPr>
            <w:tcW w:w="2925" w:type="dxa"/>
            <w:gridSpan w:val="5"/>
            <w:vAlign w:val="center"/>
          </w:tcPr>
          <w:p w14:paraId="7E7E50B9">
            <w:pPr>
              <w:spacing w:line="240" w:lineRule="auto"/>
              <w:jc w:val="center"/>
              <w:rPr>
                <w:rFonts w:ascii="Times New Roman" w:hAnsi="Times New Roman"/>
                <w:sz w:val="18"/>
                <w:szCs w:val="18"/>
              </w:rPr>
            </w:pPr>
          </w:p>
        </w:tc>
        <w:tc>
          <w:tcPr>
            <w:tcW w:w="1395" w:type="dxa"/>
            <w:gridSpan w:val="3"/>
            <w:vAlign w:val="center"/>
          </w:tcPr>
          <w:p w14:paraId="4EEBB4CE">
            <w:pPr>
              <w:spacing w:line="240" w:lineRule="auto"/>
              <w:jc w:val="center"/>
              <w:rPr>
                <w:rFonts w:ascii="Times New Roman" w:hAnsi="Times New Roman"/>
                <w:sz w:val="18"/>
                <w:szCs w:val="18"/>
              </w:rPr>
            </w:pPr>
            <w:r>
              <w:rPr>
                <w:rFonts w:ascii="Times New Roman" w:hAnsi="Times New Roman"/>
                <w:sz w:val="18"/>
                <w:szCs w:val="18"/>
              </w:rPr>
              <w:t>Y</w:t>
            </w:r>
          </w:p>
        </w:tc>
        <w:tc>
          <w:tcPr>
            <w:tcW w:w="2985" w:type="dxa"/>
            <w:gridSpan w:val="4"/>
            <w:vAlign w:val="center"/>
          </w:tcPr>
          <w:p w14:paraId="43841662">
            <w:pPr>
              <w:spacing w:line="240" w:lineRule="auto"/>
              <w:jc w:val="center"/>
              <w:rPr>
                <w:rFonts w:ascii="Times New Roman" w:hAnsi="Times New Roman"/>
                <w:sz w:val="18"/>
                <w:szCs w:val="18"/>
              </w:rPr>
            </w:pPr>
          </w:p>
        </w:tc>
      </w:tr>
      <w:tr w14:paraId="5E12A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8" w:type="dxa"/>
            <w:vAlign w:val="center"/>
          </w:tcPr>
          <w:p w14:paraId="78B30AE3">
            <w:pPr>
              <w:spacing w:line="240" w:lineRule="auto"/>
              <w:jc w:val="center"/>
              <w:rPr>
                <w:rFonts w:ascii="Times New Roman" w:hAnsi="Times New Roman"/>
                <w:sz w:val="18"/>
                <w:szCs w:val="18"/>
              </w:rPr>
            </w:pPr>
            <w:r>
              <w:rPr>
                <w:rFonts w:ascii="Times New Roman" w:hAnsi="Times New Roman"/>
                <w:sz w:val="18"/>
                <w:szCs w:val="18"/>
              </w:rPr>
              <w:t>点类型</w:t>
            </w:r>
          </w:p>
        </w:tc>
        <w:tc>
          <w:tcPr>
            <w:tcW w:w="8397" w:type="dxa"/>
            <w:gridSpan w:val="13"/>
            <w:vAlign w:val="center"/>
          </w:tcPr>
          <w:p w14:paraId="07B5A1F3">
            <w:pPr>
              <w:spacing w:line="240" w:lineRule="auto"/>
              <w:rPr>
                <w:rFonts w:ascii="Times New Roman" w:hAnsi="Times New Roman"/>
                <w:sz w:val="18"/>
                <w:szCs w:val="18"/>
              </w:rPr>
            </w:pPr>
            <w:r>
              <w:rPr>
                <w:rFonts w:ascii="Times New Roman" w:hAnsi="Times New Roman"/>
                <w:sz w:val="18"/>
                <w:szCs w:val="18"/>
              </w:rPr>
              <w:t>□斜坡结构点  □地质构造点  □工程地质岩组点  □易崩易滑地层点  □其他点：</w:t>
            </w:r>
            <w:r>
              <w:rPr>
                <w:rFonts w:ascii="Times New Roman" w:hAnsi="Times New Roman"/>
                <w:sz w:val="18"/>
                <w:szCs w:val="18"/>
                <w:u w:val="single"/>
              </w:rPr>
              <w:t xml:space="preserve">                 </w:t>
            </w:r>
          </w:p>
        </w:tc>
      </w:tr>
      <w:tr w14:paraId="3647E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Merge w:val="restart"/>
            <w:vAlign w:val="center"/>
          </w:tcPr>
          <w:p w14:paraId="0CC19907">
            <w:pPr>
              <w:spacing w:line="240" w:lineRule="auto"/>
              <w:jc w:val="center"/>
              <w:rPr>
                <w:rFonts w:ascii="Times New Roman" w:hAnsi="Times New Roman"/>
                <w:sz w:val="18"/>
                <w:szCs w:val="18"/>
              </w:rPr>
            </w:pPr>
            <w:r>
              <w:rPr>
                <w:rFonts w:hint="eastAsia" w:ascii="Times New Roman" w:hAnsi="Times New Roman"/>
                <w:sz w:val="18"/>
                <w:szCs w:val="18"/>
              </w:rPr>
              <w:t>斜坡特征</w:t>
            </w:r>
          </w:p>
        </w:tc>
        <w:tc>
          <w:tcPr>
            <w:tcW w:w="1587" w:type="dxa"/>
            <w:gridSpan w:val="2"/>
            <w:vAlign w:val="center"/>
          </w:tcPr>
          <w:p w14:paraId="7A18582A">
            <w:pPr>
              <w:spacing w:line="240" w:lineRule="auto"/>
              <w:rPr>
                <w:rFonts w:ascii="宋体" w:hAnsi="宋体" w:cs="宋体"/>
                <w:sz w:val="18"/>
                <w:szCs w:val="18"/>
              </w:rPr>
            </w:pPr>
            <w:r>
              <w:rPr>
                <w:rFonts w:hint="eastAsia" w:ascii="宋体" w:hAnsi="宋体" w:cs="宋体"/>
                <w:sz w:val="18"/>
                <w:szCs w:val="18"/>
              </w:rPr>
              <w:t>斜坡坡向（°）</w:t>
            </w:r>
          </w:p>
        </w:tc>
        <w:tc>
          <w:tcPr>
            <w:tcW w:w="1383" w:type="dxa"/>
            <w:gridSpan w:val="2"/>
            <w:vAlign w:val="center"/>
          </w:tcPr>
          <w:p w14:paraId="12FB2D0F">
            <w:pPr>
              <w:spacing w:line="240" w:lineRule="auto"/>
              <w:rPr>
                <w:rFonts w:ascii="宋体" w:hAnsi="宋体" w:cs="宋体"/>
                <w:sz w:val="18"/>
                <w:szCs w:val="18"/>
              </w:rPr>
            </w:pPr>
          </w:p>
        </w:tc>
        <w:tc>
          <w:tcPr>
            <w:tcW w:w="1459" w:type="dxa"/>
            <w:gridSpan w:val="3"/>
            <w:vAlign w:val="center"/>
          </w:tcPr>
          <w:p w14:paraId="48FC5E35">
            <w:pPr>
              <w:spacing w:line="240" w:lineRule="auto"/>
              <w:rPr>
                <w:rFonts w:ascii="宋体" w:hAnsi="宋体" w:cs="宋体"/>
                <w:sz w:val="18"/>
                <w:szCs w:val="18"/>
              </w:rPr>
            </w:pPr>
            <w:r>
              <w:rPr>
                <w:rFonts w:hint="eastAsia" w:ascii="宋体" w:hAnsi="宋体" w:cs="宋体"/>
                <w:sz w:val="18"/>
                <w:szCs w:val="18"/>
              </w:rPr>
              <w:t>斜坡坡度（°）</w:t>
            </w:r>
          </w:p>
        </w:tc>
        <w:tc>
          <w:tcPr>
            <w:tcW w:w="1428" w:type="dxa"/>
            <w:gridSpan w:val="3"/>
            <w:vAlign w:val="center"/>
          </w:tcPr>
          <w:p w14:paraId="14B6F538">
            <w:pPr>
              <w:spacing w:line="240" w:lineRule="auto"/>
              <w:rPr>
                <w:rFonts w:ascii="宋体" w:hAnsi="宋体" w:cs="宋体"/>
                <w:sz w:val="18"/>
                <w:szCs w:val="18"/>
              </w:rPr>
            </w:pPr>
          </w:p>
        </w:tc>
        <w:tc>
          <w:tcPr>
            <w:tcW w:w="1270" w:type="dxa"/>
            <w:gridSpan w:val="2"/>
            <w:vAlign w:val="center"/>
          </w:tcPr>
          <w:p w14:paraId="49EA1047">
            <w:pPr>
              <w:spacing w:line="240" w:lineRule="auto"/>
              <w:rPr>
                <w:rFonts w:ascii="Times New Roman" w:hAnsi="Times New Roman"/>
                <w:sz w:val="18"/>
                <w:szCs w:val="18"/>
              </w:rPr>
            </w:pPr>
            <w:r>
              <w:rPr>
                <w:rFonts w:hint="eastAsia" w:ascii="宋体" w:hAnsi="宋体" w:cs="宋体"/>
                <w:sz w:val="18"/>
                <w:szCs w:val="18"/>
              </w:rPr>
              <w:t>斜坡高差（m）</w:t>
            </w:r>
          </w:p>
        </w:tc>
        <w:tc>
          <w:tcPr>
            <w:tcW w:w="1270" w:type="dxa"/>
            <w:vAlign w:val="center"/>
          </w:tcPr>
          <w:p w14:paraId="337F50B5">
            <w:pPr>
              <w:spacing w:line="240" w:lineRule="auto"/>
              <w:rPr>
                <w:rFonts w:ascii="Times New Roman" w:hAnsi="Times New Roman"/>
                <w:sz w:val="18"/>
                <w:szCs w:val="18"/>
              </w:rPr>
            </w:pPr>
          </w:p>
        </w:tc>
      </w:tr>
      <w:tr w14:paraId="41AAB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Merge w:val="continue"/>
            <w:vAlign w:val="center"/>
          </w:tcPr>
          <w:p w14:paraId="003E1097">
            <w:pPr>
              <w:spacing w:line="240" w:lineRule="auto"/>
              <w:jc w:val="center"/>
              <w:rPr>
                <w:rFonts w:ascii="Times New Roman" w:hAnsi="Times New Roman"/>
                <w:sz w:val="18"/>
                <w:szCs w:val="18"/>
              </w:rPr>
            </w:pPr>
          </w:p>
        </w:tc>
        <w:tc>
          <w:tcPr>
            <w:tcW w:w="1587" w:type="dxa"/>
            <w:gridSpan w:val="2"/>
            <w:vAlign w:val="center"/>
          </w:tcPr>
          <w:p w14:paraId="680F2813">
            <w:pPr>
              <w:spacing w:line="240" w:lineRule="auto"/>
              <w:rPr>
                <w:rFonts w:ascii="宋体" w:hAnsi="宋体" w:cs="宋体"/>
                <w:sz w:val="18"/>
                <w:szCs w:val="18"/>
              </w:rPr>
            </w:pPr>
            <w:r>
              <w:rPr>
                <w:rFonts w:hint="eastAsia" w:ascii="宋体" w:hAnsi="宋体" w:cs="宋体"/>
                <w:sz w:val="18"/>
                <w:szCs w:val="18"/>
              </w:rPr>
              <w:t>斜坡坡形</w:t>
            </w:r>
          </w:p>
        </w:tc>
        <w:tc>
          <w:tcPr>
            <w:tcW w:w="1383" w:type="dxa"/>
            <w:gridSpan w:val="2"/>
            <w:vAlign w:val="center"/>
          </w:tcPr>
          <w:p w14:paraId="28815C16">
            <w:pPr>
              <w:spacing w:line="240" w:lineRule="auto"/>
              <w:rPr>
                <w:rFonts w:ascii="宋体" w:hAnsi="宋体" w:cs="宋体"/>
                <w:sz w:val="18"/>
                <w:szCs w:val="18"/>
              </w:rPr>
            </w:pPr>
          </w:p>
        </w:tc>
        <w:tc>
          <w:tcPr>
            <w:tcW w:w="1459" w:type="dxa"/>
            <w:gridSpan w:val="3"/>
            <w:vAlign w:val="center"/>
          </w:tcPr>
          <w:p w14:paraId="05B69189">
            <w:pPr>
              <w:spacing w:line="240" w:lineRule="auto"/>
              <w:rPr>
                <w:rFonts w:ascii="宋体" w:hAnsi="宋体" w:cs="宋体"/>
                <w:sz w:val="18"/>
                <w:szCs w:val="18"/>
              </w:rPr>
            </w:pPr>
            <w:r>
              <w:rPr>
                <w:rFonts w:hint="eastAsia" w:ascii="宋体" w:hAnsi="宋体" w:cs="宋体"/>
                <w:sz w:val="18"/>
                <w:szCs w:val="18"/>
              </w:rPr>
              <w:t>斜坡结构</w:t>
            </w:r>
          </w:p>
        </w:tc>
        <w:tc>
          <w:tcPr>
            <w:tcW w:w="1428" w:type="dxa"/>
            <w:gridSpan w:val="3"/>
            <w:vAlign w:val="center"/>
          </w:tcPr>
          <w:p w14:paraId="47F9EA91">
            <w:pPr>
              <w:spacing w:line="240" w:lineRule="auto"/>
              <w:rPr>
                <w:rFonts w:ascii="宋体" w:hAnsi="宋体" w:cs="宋体"/>
                <w:sz w:val="18"/>
                <w:szCs w:val="18"/>
              </w:rPr>
            </w:pPr>
          </w:p>
        </w:tc>
        <w:tc>
          <w:tcPr>
            <w:tcW w:w="1270" w:type="dxa"/>
            <w:gridSpan w:val="2"/>
            <w:vAlign w:val="center"/>
          </w:tcPr>
          <w:p w14:paraId="59A8A68C">
            <w:pPr>
              <w:spacing w:line="240" w:lineRule="auto"/>
              <w:rPr>
                <w:rFonts w:ascii="Times New Roman" w:hAnsi="Times New Roman"/>
                <w:sz w:val="18"/>
                <w:szCs w:val="18"/>
              </w:rPr>
            </w:pPr>
            <w:r>
              <w:rPr>
                <w:rFonts w:hint="eastAsia" w:ascii="宋体" w:hAnsi="宋体" w:cs="宋体"/>
                <w:sz w:val="18"/>
                <w:szCs w:val="18"/>
              </w:rPr>
              <w:t>岩体结构</w:t>
            </w:r>
          </w:p>
        </w:tc>
        <w:tc>
          <w:tcPr>
            <w:tcW w:w="1270" w:type="dxa"/>
            <w:vAlign w:val="center"/>
          </w:tcPr>
          <w:p w14:paraId="360A3BF3">
            <w:pPr>
              <w:spacing w:line="240" w:lineRule="auto"/>
              <w:rPr>
                <w:rFonts w:ascii="Times New Roman" w:hAnsi="Times New Roman"/>
                <w:sz w:val="18"/>
                <w:szCs w:val="18"/>
              </w:rPr>
            </w:pPr>
          </w:p>
        </w:tc>
      </w:tr>
      <w:tr w14:paraId="28F4B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Merge w:val="continue"/>
            <w:vAlign w:val="center"/>
          </w:tcPr>
          <w:p w14:paraId="4CA65792">
            <w:pPr>
              <w:spacing w:line="240" w:lineRule="auto"/>
              <w:jc w:val="center"/>
              <w:rPr>
                <w:rFonts w:ascii="Times New Roman" w:hAnsi="Times New Roman"/>
                <w:sz w:val="18"/>
                <w:szCs w:val="18"/>
              </w:rPr>
            </w:pPr>
          </w:p>
        </w:tc>
        <w:tc>
          <w:tcPr>
            <w:tcW w:w="1587" w:type="dxa"/>
            <w:gridSpan w:val="2"/>
            <w:vAlign w:val="center"/>
          </w:tcPr>
          <w:p w14:paraId="247A556E">
            <w:pPr>
              <w:spacing w:line="240" w:lineRule="auto"/>
              <w:rPr>
                <w:rFonts w:ascii="宋体" w:hAnsi="宋体" w:cs="宋体"/>
                <w:sz w:val="18"/>
                <w:szCs w:val="18"/>
              </w:rPr>
            </w:pPr>
            <w:r>
              <w:rPr>
                <w:rFonts w:hint="eastAsia" w:ascii="宋体" w:hAnsi="宋体" w:cs="宋体"/>
                <w:sz w:val="18"/>
                <w:szCs w:val="18"/>
              </w:rPr>
              <w:t>与构造间距离（m）</w:t>
            </w:r>
          </w:p>
        </w:tc>
        <w:tc>
          <w:tcPr>
            <w:tcW w:w="1383" w:type="dxa"/>
            <w:gridSpan w:val="2"/>
            <w:vAlign w:val="center"/>
          </w:tcPr>
          <w:p w14:paraId="042C2B31">
            <w:pPr>
              <w:spacing w:line="240" w:lineRule="auto"/>
              <w:rPr>
                <w:rFonts w:ascii="宋体" w:hAnsi="宋体" w:cs="宋体"/>
                <w:sz w:val="18"/>
                <w:szCs w:val="18"/>
              </w:rPr>
            </w:pPr>
          </w:p>
        </w:tc>
        <w:tc>
          <w:tcPr>
            <w:tcW w:w="1459" w:type="dxa"/>
            <w:gridSpan w:val="3"/>
            <w:vAlign w:val="center"/>
          </w:tcPr>
          <w:p w14:paraId="2D819C31">
            <w:pPr>
              <w:spacing w:line="240" w:lineRule="auto"/>
              <w:rPr>
                <w:rFonts w:ascii="宋体" w:hAnsi="宋体" w:cs="宋体"/>
                <w:sz w:val="18"/>
                <w:szCs w:val="18"/>
              </w:rPr>
            </w:pPr>
            <w:r>
              <w:rPr>
                <w:rFonts w:hint="eastAsia" w:ascii="宋体" w:hAnsi="宋体" w:cs="宋体"/>
                <w:sz w:val="18"/>
                <w:szCs w:val="18"/>
              </w:rPr>
              <w:t>覆盖层厚度（m）</w:t>
            </w:r>
          </w:p>
        </w:tc>
        <w:tc>
          <w:tcPr>
            <w:tcW w:w="1428" w:type="dxa"/>
            <w:gridSpan w:val="3"/>
            <w:vAlign w:val="center"/>
          </w:tcPr>
          <w:p w14:paraId="6051CFC7">
            <w:pPr>
              <w:spacing w:line="240" w:lineRule="auto"/>
              <w:rPr>
                <w:rFonts w:ascii="宋体" w:hAnsi="宋体" w:cs="宋体"/>
                <w:sz w:val="18"/>
                <w:szCs w:val="18"/>
              </w:rPr>
            </w:pPr>
          </w:p>
        </w:tc>
        <w:tc>
          <w:tcPr>
            <w:tcW w:w="1270" w:type="dxa"/>
            <w:gridSpan w:val="2"/>
            <w:vAlign w:val="center"/>
          </w:tcPr>
          <w:p w14:paraId="3D9CE62D">
            <w:pPr>
              <w:spacing w:line="240" w:lineRule="auto"/>
              <w:rPr>
                <w:rFonts w:ascii="Times New Roman" w:hAnsi="Times New Roman"/>
                <w:sz w:val="18"/>
                <w:szCs w:val="18"/>
              </w:rPr>
            </w:pPr>
            <w:r>
              <w:rPr>
                <w:rFonts w:hint="eastAsia" w:ascii="宋体" w:hAnsi="宋体" w:cs="宋体"/>
                <w:sz w:val="18"/>
                <w:szCs w:val="18"/>
              </w:rPr>
              <w:t>切坡高度（m）</w:t>
            </w:r>
          </w:p>
        </w:tc>
        <w:tc>
          <w:tcPr>
            <w:tcW w:w="1270" w:type="dxa"/>
            <w:vAlign w:val="center"/>
          </w:tcPr>
          <w:p w14:paraId="473720DE">
            <w:pPr>
              <w:spacing w:line="240" w:lineRule="auto"/>
              <w:rPr>
                <w:rFonts w:ascii="Times New Roman" w:hAnsi="Times New Roman"/>
                <w:sz w:val="18"/>
                <w:szCs w:val="18"/>
              </w:rPr>
            </w:pPr>
          </w:p>
        </w:tc>
      </w:tr>
      <w:tr w14:paraId="0324F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Align w:val="center"/>
          </w:tcPr>
          <w:p w14:paraId="4F9B9A53">
            <w:pPr>
              <w:spacing w:line="240" w:lineRule="auto"/>
              <w:jc w:val="center"/>
              <w:rPr>
                <w:rFonts w:ascii="Times New Roman" w:hAnsi="Times New Roman"/>
                <w:sz w:val="18"/>
                <w:szCs w:val="18"/>
              </w:rPr>
            </w:pPr>
            <w:r>
              <w:rPr>
                <w:rFonts w:ascii="Times New Roman" w:hAnsi="Times New Roman"/>
                <w:sz w:val="18"/>
                <w:szCs w:val="18"/>
              </w:rPr>
              <w:t>产状</w:t>
            </w:r>
          </w:p>
        </w:tc>
        <w:tc>
          <w:tcPr>
            <w:tcW w:w="2150" w:type="dxa"/>
            <w:gridSpan w:val="3"/>
            <w:vAlign w:val="center"/>
          </w:tcPr>
          <w:p w14:paraId="1F7C3C25">
            <w:pPr>
              <w:spacing w:line="240" w:lineRule="auto"/>
              <w:jc w:val="center"/>
              <w:rPr>
                <w:rFonts w:ascii="Times New Roman" w:hAnsi="Times New Roman"/>
                <w:sz w:val="18"/>
                <w:szCs w:val="18"/>
              </w:rPr>
            </w:pPr>
            <w:r>
              <w:rPr>
                <w:rFonts w:ascii="Times New Roman" w:hAnsi="Times New Roman"/>
                <w:sz w:val="18"/>
                <w:szCs w:val="18"/>
              </w:rPr>
              <w:t>倾向（°）</w:t>
            </w:r>
          </w:p>
        </w:tc>
        <w:tc>
          <w:tcPr>
            <w:tcW w:w="2279" w:type="dxa"/>
            <w:gridSpan w:val="4"/>
            <w:vAlign w:val="center"/>
          </w:tcPr>
          <w:p w14:paraId="7C1C10AF">
            <w:pPr>
              <w:spacing w:line="240" w:lineRule="auto"/>
              <w:jc w:val="center"/>
              <w:rPr>
                <w:rFonts w:ascii="Times New Roman" w:hAnsi="Times New Roman"/>
                <w:sz w:val="18"/>
                <w:szCs w:val="18"/>
              </w:rPr>
            </w:pPr>
            <w:r>
              <w:rPr>
                <w:rFonts w:ascii="Times New Roman" w:hAnsi="Times New Roman"/>
                <w:sz w:val="18"/>
                <w:szCs w:val="18"/>
              </w:rPr>
              <w:t>倾角（°）</w:t>
            </w:r>
          </w:p>
        </w:tc>
        <w:tc>
          <w:tcPr>
            <w:tcW w:w="476" w:type="dxa"/>
            <w:vMerge w:val="restart"/>
            <w:vAlign w:val="center"/>
          </w:tcPr>
          <w:p w14:paraId="5BB90115">
            <w:pPr>
              <w:spacing w:line="240" w:lineRule="auto"/>
              <w:rPr>
                <w:rFonts w:ascii="Times New Roman" w:hAnsi="Times New Roman"/>
                <w:sz w:val="18"/>
                <w:szCs w:val="18"/>
              </w:rPr>
            </w:pPr>
            <w:r>
              <w:rPr>
                <w:rFonts w:ascii="Times New Roman" w:hAnsi="Times New Roman"/>
                <w:sz w:val="18"/>
                <w:szCs w:val="18"/>
              </w:rPr>
              <w:t>裂隙产状</w:t>
            </w:r>
          </w:p>
        </w:tc>
        <w:tc>
          <w:tcPr>
            <w:tcW w:w="1730" w:type="dxa"/>
            <w:gridSpan w:val="3"/>
            <w:vAlign w:val="center"/>
          </w:tcPr>
          <w:p w14:paraId="636B780A">
            <w:pPr>
              <w:spacing w:line="240" w:lineRule="auto"/>
              <w:jc w:val="center"/>
              <w:rPr>
                <w:rFonts w:ascii="Times New Roman" w:hAnsi="Times New Roman"/>
                <w:sz w:val="18"/>
                <w:szCs w:val="18"/>
              </w:rPr>
            </w:pPr>
            <w:r>
              <w:rPr>
                <w:rFonts w:ascii="Times New Roman" w:hAnsi="Times New Roman"/>
                <w:sz w:val="18"/>
                <w:szCs w:val="18"/>
              </w:rPr>
              <w:t>倾向（°）</w:t>
            </w:r>
          </w:p>
        </w:tc>
        <w:tc>
          <w:tcPr>
            <w:tcW w:w="1762" w:type="dxa"/>
            <w:gridSpan w:val="2"/>
            <w:vAlign w:val="center"/>
          </w:tcPr>
          <w:p w14:paraId="2CE909AD">
            <w:pPr>
              <w:spacing w:line="240" w:lineRule="auto"/>
              <w:jc w:val="center"/>
              <w:rPr>
                <w:rFonts w:ascii="Times New Roman" w:hAnsi="Times New Roman"/>
                <w:sz w:val="18"/>
                <w:szCs w:val="18"/>
              </w:rPr>
            </w:pPr>
            <w:r>
              <w:rPr>
                <w:rFonts w:ascii="Times New Roman" w:hAnsi="Times New Roman"/>
                <w:sz w:val="18"/>
                <w:szCs w:val="18"/>
              </w:rPr>
              <w:t>倾角（°）</w:t>
            </w:r>
          </w:p>
        </w:tc>
      </w:tr>
      <w:tr w14:paraId="0271F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Align w:val="center"/>
          </w:tcPr>
          <w:p w14:paraId="3C1F1490">
            <w:pPr>
              <w:spacing w:line="240" w:lineRule="auto"/>
              <w:jc w:val="center"/>
              <w:rPr>
                <w:rFonts w:ascii="Times New Roman" w:hAnsi="Times New Roman"/>
                <w:sz w:val="18"/>
                <w:szCs w:val="18"/>
              </w:rPr>
            </w:pPr>
            <w:r>
              <w:rPr>
                <w:rFonts w:ascii="Times New Roman" w:hAnsi="Times New Roman"/>
                <w:sz w:val="18"/>
                <w:szCs w:val="18"/>
              </w:rPr>
              <w:t>岩层</w:t>
            </w:r>
          </w:p>
        </w:tc>
        <w:tc>
          <w:tcPr>
            <w:tcW w:w="2150" w:type="dxa"/>
            <w:gridSpan w:val="3"/>
            <w:vAlign w:val="center"/>
          </w:tcPr>
          <w:p w14:paraId="0F64AC76">
            <w:pPr>
              <w:spacing w:line="240" w:lineRule="auto"/>
              <w:rPr>
                <w:rFonts w:ascii="Times New Roman" w:hAnsi="Times New Roman"/>
                <w:sz w:val="18"/>
                <w:szCs w:val="18"/>
              </w:rPr>
            </w:pPr>
          </w:p>
        </w:tc>
        <w:tc>
          <w:tcPr>
            <w:tcW w:w="2279" w:type="dxa"/>
            <w:gridSpan w:val="4"/>
            <w:vAlign w:val="center"/>
          </w:tcPr>
          <w:p w14:paraId="2438F4AC">
            <w:pPr>
              <w:spacing w:line="240" w:lineRule="auto"/>
              <w:rPr>
                <w:rFonts w:ascii="Times New Roman" w:hAnsi="Times New Roman"/>
                <w:sz w:val="18"/>
                <w:szCs w:val="18"/>
              </w:rPr>
            </w:pPr>
          </w:p>
        </w:tc>
        <w:tc>
          <w:tcPr>
            <w:tcW w:w="476" w:type="dxa"/>
            <w:vMerge w:val="continue"/>
            <w:vAlign w:val="center"/>
          </w:tcPr>
          <w:p w14:paraId="380F411A">
            <w:pPr>
              <w:spacing w:line="240" w:lineRule="auto"/>
              <w:rPr>
                <w:rFonts w:ascii="Times New Roman" w:hAnsi="Times New Roman"/>
                <w:sz w:val="18"/>
                <w:szCs w:val="18"/>
              </w:rPr>
            </w:pPr>
          </w:p>
        </w:tc>
        <w:tc>
          <w:tcPr>
            <w:tcW w:w="1730" w:type="dxa"/>
            <w:gridSpan w:val="3"/>
            <w:vAlign w:val="center"/>
          </w:tcPr>
          <w:p w14:paraId="3C415B63">
            <w:pPr>
              <w:spacing w:line="240" w:lineRule="auto"/>
              <w:rPr>
                <w:rFonts w:ascii="Times New Roman" w:hAnsi="Times New Roman"/>
                <w:sz w:val="18"/>
                <w:szCs w:val="18"/>
              </w:rPr>
            </w:pPr>
          </w:p>
        </w:tc>
        <w:tc>
          <w:tcPr>
            <w:tcW w:w="1762" w:type="dxa"/>
            <w:gridSpan w:val="2"/>
            <w:vAlign w:val="center"/>
          </w:tcPr>
          <w:p w14:paraId="325BAFBF">
            <w:pPr>
              <w:spacing w:line="240" w:lineRule="auto"/>
              <w:rPr>
                <w:rFonts w:ascii="Times New Roman" w:hAnsi="Times New Roman"/>
                <w:sz w:val="18"/>
                <w:szCs w:val="18"/>
              </w:rPr>
            </w:pPr>
          </w:p>
        </w:tc>
      </w:tr>
      <w:tr w14:paraId="1C4B6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Merge w:val="restart"/>
            <w:vAlign w:val="center"/>
          </w:tcPr>
          <w:p w14:paraId="68244E97">
            <w:pPr>
              <w:spacing w:line="240" w:lineRule="auto"/>
              <w:jc w:val="center"/>
              <w:rPr>
                <w:rFonts w:ascii="Times New Roman" w:hAnsi="Times New Roman"/>
                <w:sz w:val="18"/>
                <w:szCs w:val="18"/>
              </w:rPr>
            </w:pPr>
            <w:r>
              <w:rPr>
                <w:rFonts w:ascii="Times New Roman" w:hAnsi="Times New Roman"/>
                <w:sz w:val="18"/>
                <w:szCs w:val="18"/>
              </w:rPr>
              <w:t>断层</w:t>
            </w:r>
          </w:p>
        </w:tc>
        <w:tc>
          <w:tcPr>
            <w:tcW w:w="2150" w:type="dxa"/>
            <w:gridSpan w:val="3"/>
            <w:vAlign w:val="center"/>
          </w:tcPr>
          <w:p w14:paraId="53E7ECDE">
            <w:pPr>
              <w:spacing w:line="240" w:lineRule="auto"/>
              <w:rPr>
                <w:rFonts w:ascii="Times New Roman" w:hAnsi="Times New Roman"/>
                <w:sz w:val="18"/>
                <w:szCs w:val="18"/>
              </w:rPr>
            </w:pPr>
          </w:p>
        </w:tc>
        <w:tc>
          <w:tcPr>
            <w:tcW w:w="2279" w:type="dxa"/>
            <w:gridSpan w:val="4"/>
            <w:vAlign w:val="center"/>
          </w:tcPr>
          <w:p w14:paraId="0376F4B7">
            <w:pPr>
              <w:spacing w:line="240" w:lineRule="auto"/>
              <w:rPr>
                <w:rFonts w:ascii="Times New Roman" w:hAnsi="Times New Roman"/>
                <w:sz w:val="18"/>
                <w:szCs w:val="18"/>
              </w:rPr>
            </w:pPr>
          </w:p>
        </w:tc>
        <w:tc>
          <w:tcPr>
            <w:tcW w:w="476" w:type="dxa"/>
            <w:vMerge w:val="continue"/>
            <w:vAlign w:val="center"/>
          </w:tcPr>
          <w:p w14:paraId="0596D1D2">
            <w:pPr>
              <w:spacing w:line="240" w:lineRule="auto"/>
              <w:rPr>
                <w:rFonts w:ascii="Times New Roman" w:hAnsi="Times New Roman"/>
                <w:sz w:val="18"/>
                <w:szCs w:val="18"/>
              </w:rPr>
            </w:pPr>
          </w:p>
        </w:tc>
        <w:tc>
          <w:tcPr>
            <w:tcW w:w="1730" w:type="dxa"/>
            <w:gridSpan w:val="3"/>
            <w:vAlign w:val="center"/>
          </w:tcPr>
          <w:p w14:paraId="05FC27C1">
            <w:pPr>
              <w:spacing w:line="240" w:lineRule="auto"/>
              <w:rPr>
                <w:rFonts w:ascii="Times New Roman" w:hAnsi="Times New Roman"/>
                <w:sz w:val="18"/>
                <w:szCs w:val="18"/>
              </w:rPr>
            </w:pPr>
          </w:p>
        </w:tc>
        <w:tc>
          <w:tcPr>
            <w:tcW w:w="1762" w:type="dxa"/>
            <w:gridSpan w:val="2"/>
            <w:vAlign w:val="center"/>
          </w:tcPr>
          <w:p w14:paraId="358DCF03">
            <w:pPr>
              <w:spacing w:line="240" w:lineRule="auto"/>
              <w:rPr>
                <w:rFonts w:ascii="Times New Roman" w:hAnsi="Times New Roman"/>
                <w:sz w:val="18"/>
                <w:szCs w:val="18"/>
              </w:rPr>
            </w:pPr>
          </w:p>
        </w:tc>
      </w:tr>
      <w:tr w14:paraId="1AA72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968" w:type="dxa"/>
            <w:vMerge w:val="continue"/>
            <w:vAlign w:val="center"/>
          </w:tcPr>
          <w:p w14:paraId="149D7FFC">
            <w:pPr>
              <w:spacing w:line="240" w:lineRule="auto"/>
              <w:jc w:val="center"/>
              <w:rPr>
                <w:rFonts w:ascii="Times New Roman" w:hAnsi="Times New Roman"/>
                <w:sz w:val="18"/>
                <w:szCs w:val="18"/>
              </w:rPr>
            </w:pPr>
          </w:p>
        </w:tc>
        <w:tc>
          <w:tcPr>
            <w:tcW w:w="2150" w:type="dxa"/>
            <w:gridSpan w:val="3"/>
            <w:vAlign w:val="center"/>
          </w:tcPr>
          <w:p w14:paraId="7943A482">
            <w:pPr>
              <w:spacing w:line="240" w:lineRule="auto"/>
              <w:rPr>
                <w:rFonts w:ascii="Times New Roman" w:hAnsi="Times New Roman"/>
                <w:sz w:val="18"/>
                <w:szCs w:val="18"/>
              </w:rPr>
            </w:pPr>
          </w:p>
        </w:tc>
        <w:tc>
          <w:tcPr>
            <w:tcW w:w="2279" w:type="dxa"/>
            <w:gridSpan w:val="4"/>
            <w:vAlign w:val="center"/>
          </w:tcPr>
          <w:p w14:paraId="330B17BF">
            <w:pPr>
              <w:spacing w:line="240" w:lineRule="auto"/>
              <w:rPr>
                <w:rFonts w:ascii="Times New Roman" w:hAnsi="Times New Roman"/>
                <w:sz w:val="18"/>
                <w:szCs w:val="18"/>
              </w:rPr>
            </w:pPr>
          </w:p>
        </w:tc>
        <w:tc>
          <w:tcPr>
            <w:tcW w:w="476" w:type="dxa"/>
            <w:vMerge w:val="continue"/>
            <w:vAlign w:val="center"/>
          </w:tcPr>
          <w:p w14:paraId="4B9AD26D">
            <w:pPr>
              <w:spacing w:line="240" w:lineRule="auto"/>
              <w:rPr>
                <w:rFonts w:ascii="Times New Roman" w:hAnsi="Times New Roman"/>
                <w:sz w:val="18"/>
                <w:szCs w:val="18"/>
              </w:rPr>
            </w:pPr>
          </w:p>
        </w:tc>
        <w:tc>
          <w:tcPr>
            <w:tcW w:w="1730" w:type="dxa"/>
            <w:gridSpan w:val="3"/>
            <w:vAlign w:val="center"/>
          </w:tcPr>
          <w:p w14:paraId="0D8789D9">
            <w:pPr>
              <w:spacing w:line="240" w:lineRule="auto"/>
              <w:rPr>
                <w:rFonts w:ascii="Times New Roman" w:hAnsi="Times New Roman"/>
                <w:sz w:val="18"/>
                <w:szCs w:val="18"/>
              </w:rPr>
            </w:pPr>
          </w:p>
        </w:tc>
        <w:tc>
          <w:tcPr>
            <w:tcW w:w="1762" w:type="dxa"/>
            <w:gridSpan w:val="2"/>
            <w:vAlign w:val="center"/>
          </w:tcPr>
          <w:p w14:paraId="23C0130A">
            <w:pPr>
              <w:spacing w:line="240" w:lineRule="auto"/>
              <w:rPr>
                <w:rFonts w:ascii="Times New Roman" w:hAnsi="Times New Roman"/>
                <w:sz w:val="18"/>
                <w:szCs w:val="18"/>
              </w:rPr>
            </w:pPr>
          </w:p>
        </w:tc>
      </w:tr>
      <w:tr w14:paraId="6B52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7" w:hRule="atLeast"/>
          <w:jc w:val="center"/>
        </w:trPr>
        <w:tc>
          <w:tcPr>
            <w:tcW w:w="968" w:type="dxa"/>
            <w:vMerge w:val="restart"/>
            <w:vAlign w:val="center"/>
          </w:tcPr>
          <w:p w14:paraId="1A4AB732">
            <w:pPr>
              <w:spacing w:line="240" w:lineRule="auto"/>
              <w:jc w:val="center"/>
              <w:rPr>
                <w:rFonts w:ascii="Times New Roman" w:hAnsi="Times New Roman"/>
                <w:sz w:val="18"/>
                <w:szCs w:val="18"/>
              </w:rPr>
            </w:pPr>
            <w:r>
              <w:rPr>
                <w:rFonts w:ascii="Times New Roman" w:hAnsi="Times New Roman"/>
                <w:sz w:val="18"/>
                <w:szCs w:val="18"/>
              </w:rPr>
              <w:t>孕</w:t>
            </w:r>
          </w:p>
          <w:p w14:paraId="3F62C0F2">
            <w:pPr>
              <w:spacing w:line="240" w:lineRule="auto"/>
              <w:jc w:val="center"/>
              <w:rPr>
                <w:rFonts w:ascii="Times New Roman" w:hAnsi="Times New Roman"/>
                <w:sz w:val="18"/>
                <w:szCs w:val="18"/>
              </w:rPr>
            </w:pPr>
            <w:r>
              <w:rPr>
                <w:rFonts w:ascii="Times New Roman" w:hAnsi="Times New Roman"/>
                <w:sz w:val="18"/>
                <w:szCs w:val="18"/>
              </w:rPr>
              <w:t>灾</w:t>
            </w:r>
          </w:p>
          <w:p w14:paraId="4A90DE34">
            <w:pPr>
              <w:spacing w:line="240" w:lineRule="auto"/>
              <w:jc w:val="center"/>
              <w:rPr>
                <w:rFonts w:ascii="Times New Roman" w:hAnsi="Times New Roman"/>
                <w:sz w:val="18"/>
                <w:szCs w:val="18"/>
              </w:rPr>
            </w:pPr>
            <w:r>
              <w:rPr>
                <w:rFonts w:ascii="Times New Roman" w:hAnsi="Times New Roman"/>
                <w:sz w:val="18"/>
                <w:szCs w:val="18"/>
              </w:rPr>
              <w:t>地</w:t>
            </w:r>
          </w:p>
          <w:p w14:paraId="32A94603">
            <w:pPr>
              <w:spacing w:line="240" w:lineRule="auto"/>
              <w:jc w:val="center"/>
              <w:rPr>
                <w:rFonts w:ascii="Times New Roman" w:hAnsi="Times New Roman"/>
                <w:sz w:val="18"/>
                <w:szCs w:val="18"/>
              </w:rPr>
            </w:pPr>
            <w:r>
              <w:rPr>
                <w:rFonts w:ascii="Times New Roman" w:hAnsi="Times New Roman"/>
                <w:sz w:val="18"/>
                <w:szCs w:val="18"/>
              </w:rPr>
              <w:t>质</w:t>
            </w:r>
          </w:p>
          <w:p w14:paraId="22EFA1C1">
            <w:pPr>
              <w:spacing w:line="240" w:lineRule="auto"/>
              <w:jc w:val="center"/>
              <w:rPr>
                <w:rFonts w:ascii="Times New Roman" w:hAnsi="Times New Roman"/>
                <w:sz w:val="18"/>
                <w:szCs w:val="18"/>
              </w:rPr>
            </w:pPr>
            <w:r>
              <w:rPr>
                <w:rFonts w:ascii="Times New Roman" w:hAnsi="Times New Roman"/>
                <w:sz w:val="18"/>
                <w:szCs w:val="18"/>
              </w:rPr>
              <w:t>条</w:t>
            </w:r>
          </w:p>
          <w:p w14:paraId="5E1D3996">
            <w:pPr>
              <w:spacing w:line="240" w:lineRule="auto"/>
              <w:jc w:val="center"/>
              <w:rPr>
                <w:rFonts w:ascii="Times New Roman" w:hAnsi="Times New Roman"/>
                <w:sz w:val="18"/>
                <w:szCs w:val="18"/>
              </w:rPr>
            </w:pPr>
            <w:r>
              <w:rPr>
                <w:rFonts w:ascii="Times New Roman" w:hAnsi="Times New Roman"/>
                <w:sz w:val="18"/>
                <w:szCs w:val="18"/>
              </w:rPr>
              <w:t>件</w:t>
            </w:r>
          </w:p>
          <w:p w14:paraId="22370C7B">
            <w:pPr>
              <w:spacing w:line="240" w:lineRule="auto"/>
              <w:jc w:val="center"/>
              <w:rPr>
                <w:rFonts w:ascii="Times New Roman" w:hAnsi="Times New Roman"/>
                <w:sz w:val="18"/>
                <w:szCs w:val="18"/>
              </w:rPr>
            </w:pPr>
            <w:r>
              <w:rPr>
                <w:rFonts w:ascii="Times New Roman" w:hAnsi="Times New Roman"/>
                <w:sz w:val="18"/>
                <w:szCs w:val="18"/>
              </w:rPr>
              <w:t>特</w:t>
            </w:r>
          </w:p>
          <w:p w14:paraId="34E68E1F">
            <w:pPr>
              <w:spacing w:line="240" w:lineRule="auto"/>
              <w:jc w:val="center"/>
              <w:rPr>
                <w:rFonts w:ascii="Times New Roman" w:hAnsi="Times New Roman"/>
                <w:sz w:val="18"/>
                <w:szCs w:val="18"/>
              </w:rPr>
            </w:pPr>
            <w:r>
              <w:rPr>
                <w:rFonts w:ascii="Times New Roman" w:hAnsi="Times New Roman"/>
                <w:sz w:val="18"/>
                <w:szCs w:val="18"/>
              </w:rPr>
              <w:t>征</w:t>
            </w:r>
          </w:p>
          <w:p w14:paraId="0BE70106">
            <w:pPr>
              <w:spacing w:line="240" w:lineRule="auto"/>
              <w:jc w:val="center"/>
              <w:rPr>
                <w:rFonts w:ascii="Times New Roman" w:hAnsi="Times New Roman"/>
                <w:sz w:val="18"/>
                <w:szCs w:val="18"/>
              </w:rPr>
            </w:pPr>
            <w:r>
              <w:rPr>
                <w:rFonts w:ascii="Times New Roman" w:hAnsi="Times New Roman"/>
                <w:sz w:val="18"/>
                <w:szCs w:val="18"/>
              </w:rPr>
              <w:t>描</w:t>
            </w:r>
          </w:p>
          <w:p w14:paraId="381EFAC7">
            <w:pPr>
              <w:spacing w:line="240" w:lineRule="auto"/>
              <w:jc w:val="center"/>
              <w:rPr>
                <w:rFonts w:ascii="Times New Roman" w:hAnsi="Times New Roman"/>
                <w:sz w:val="18"/>
                <w:szCs w:val="18"/>
              </w:rPr>
            </w:pPr>
            <w:r>
              <w:rPr>
                <w:rFonts w:ascii="Times New Roman" w:hAnsi="Times New Roman"/>
                <w:sz w:val="18"/>
                <w:szCs w:val="18"/>
              </w:rPr>
              <w:t>述</w:t>
            </w:r>
          </w:p>
        </w:tc>
        <w:tc>
          <w:tcPr>
            <w:tcW w:w="8397" w:type="dxa"/>
            <w:gridSpan w:val="13"/>
            <w:vAlign w:val="center"/>
          </w:tcPr>
          <w:p w14:paraId="17877598">
            <w:pPr>
              <w:spacing w:line="240" w:lineRule="auto"/>
              <w:rPr>
                <w:rFonts w:ascii="Times New Roman" w:hAnsi="Times New Roman"/>
                <w:sz w:val="18"/>
                <w:szCs w:val="18"/>
              </w:rPr>
            </w:pPr>
            <w:r>
              <w:rPr>
                <w:rFonts w:ascii="Times New Roman" w:hAnsi="Times New Roman"/>
                <w:sz w:val="18"/>
                <w:szCs w:val="18"/>
              </w:rPr>
              <w:t>基础地质条件：主要包括地形地貌、地质构造、岩土体工程地质特征等。</w:t>
            </w:r>
          </w:p>
          <w:p w14:paraId="42B6FEC4">
            <w:pPr>
              <w:spacing w:line="240" w:lineRule="auto"/>
              <w:rPr>
                <w:rFonts w:ascii="Times New Roman" w:hAnsi="Times New Roman"/>
                <w:sz w:val="18"/>
                <w:szCs w:val="18"/>
              </w:rPr>
            </w:pPr>
            <w:r>
              <w:rPr>
                <w:rFonts w:ascii="Times New Roman" w:hAnsi="Times New Roman"/>
                <w:sz w:val="18"/>
                <w:szCs w:val="18"/>
              </w:rPr>
              <w:t>地形地貌：（地貌形态，成因类型，地貌界线；微地貌形态、类型、坡度；悬崖、沟谷、河谷、河漫滩、阶地、沟谷、冲积扇等，微地貌组合特征、相对时代及其演化历史；人工地貌形态、规模及其稳定性。）</w:t>
            </w:r>
          </w:p>
          <w:p w14:paraId="0158880A">
            <w:pPr>
              <w:spacing w:line="240" w:lineRule="auto"/>
              <w:rPr>
                <w:rFonts w:ascii="Times New Roman" w:hAnsi="Times New Roman"/>
                <w:sz w:val="18"/>
                <w:szCs w:val="18"/>
              </w:rPr>
            </w:pPr>
            <w:r>
              <w:rPr>
                <w:rFonts w:ascii="Times New Roman" w:hAnsi="Times New Roman"/>
                <w:sz w:val="18"/>
                <w:szCs w:val="18"/>
              </w:rPr>
              <w:t>地质构造：（断裂主断面的产状、性质、断距（垂直、视垂直），断层两侧岩层时代与产状，岩石变形情况，断层带构造岩破碎程度、结构特征、宽度，擦痕性质、活动强度和特征及其地貌地质证据等；褶皱的轴面产状、规模、变形岩层、变形形态及程度；构造节理裂隙产状、宽度、延伸、密度及充填情况等；软弱结构面对灾害的控制描述）。</w:t>
            </w:r>
          </w:p>
          <w:p w14:paraId="3C678B26">
            <w:pPr>
              <w:spacing w:line="240" w:lineRule="auto"/>
              <w:rPr>
                <w:rFonts w:ascii="Times New Roman" w:hAnsi="Times New Roman"/>
                <w:sz w:val="18"/>
                <w:szCs w:val="18"/>
              </w:rPr>
            </w:pPr>
            <w:r>
              <w:rPr>
                <w:rFonts w:ascii="Times New Roman" w:hAnsi="Times New Roman"/>
                <w:sz w:val="18"/>
                <w:szCs w:val="18"/>
              </w:rPr>
              <w:t>岩土体工程地质特征：（地层层序、地质时代、成因类型、岩石地层单元，岩性特征和接触关系，风化程度、强度及节理裂隙发育等工程地质特征；土体分布、成因类型、厚度及结构特征等；软弱层对灾害的控制描述。易崩易滑地层控灾作用。）</w:t>
            </w:r>
          </w:p>
        </w:tc>
      </w:tr>
      <w:tr w14:paraId="16172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1" w:hRule="atLeast"/>
          <w:jc w:val="center"/>
        </w:trPr>
        <w:tc>
          <w:tcPr>
            <w:tcW w:w="968" w:type="dxa"/>
            <w:vMerge w:val="continue"/>
            <w:vAlign w:val="center"/>
          </w:tcPr>
          <w:p w14:paraId="45FEF29C">
            <w:pPr>
              <w:spacing w:line="240" w:lineRule="auto"/>
              <w:jc w:val="center"/>
              <w:rPr>
                <w:rFonts w:ascii="Times New Roman" w:hAnsi="Times New Roman"/>
                <w:sz w:val="18"/>
                <w:szCs w:val="18"/>
              </w:rPr>
            </w:pPr>
          </w:p>
        </w:tc>
        <w:tc>
          <w:tcPr>
            <w:tcW w:w="8397" w:type="dxa"/>
            <w:gridSpan w:val="13"/>
            <w:vAlign w:val="center"/>
          </w:tcPr>
          <w:p w14:paraId="60AE343F">
            <w:pPr>
              <w:spacing w:line="240" w:lineRule="auto"/>
              <w:rPr>
                <w:rFonts w:ascii="Times New Roman" w:hAnsi="Times New Roman"/>
                <w:sz w:val="18"/>
                <w:szCs w:val="18"/>
              </w:rPr>
            </w:pPr>
            <w:r>
              <w:rPr>
                <w:rFonts w:ascii="Times New Roman" w:hAnsi="Times New Roman"/>
                <w:sz w:val="18"/>
                <w:szCs w:val="18"/>
              </w:rPr>
              <w:t>地表水与地下水：（地表水体发育情况，河流的洪水位、枯水位、流量等，相对河流的位置；与地下水相关的井、泉、湿地类型，含水层、隔水层特征等，地表水、地下水对地质灾害的影响。）</w:t>
            </w:r>
          </w:p>
        </w:tc>
      </w:tr>
    </w:tbl>
    <w:p w14:paraId="4EFEA0C0">
      <w:pPr>
        <w:pStyle w:val="58"/>
        <w:ind w:firstLine="420"/>
      </w:pPr>
    </w:p>
    <w:p w14:paraId="715B3AA8">
      <w:pPr>
        <w:pStyle w:val="58"/>
        <w:ind w:firstLine="420"/>
      </w:pPr>
    </w:p>
    <w:p w14:paraId="1B5A2E3F">
      <w:pPr>
        <w:pStyle w:val="58"/>
        <w:pageBreakBefore/>
        <w:spacing w:before="156" w:beforeLines="50" w:after="156" w:afterLines="50"/>
        <w:ind w:firstLine="0" w:firstLineChars="0"/>
        <w:jc w:val="center"/>
      </w:pPr>
      <w:r>
        <w:rPr>
          <w:rFonts w:hint="eastAsia" w:ascii="黑体" w:hAnsi="黑体" w:eastAsia="黑体"/>
        </w:rPr>
        <w:t>表C</w:t>
      </w:r>
      <w:r>
        <w:rPr>
          <w:rFonts w:ascii="黑体" w:hAnsi="黑体" w:eastAsia="黑体"/>
        </w:rPr>
        <w:t>.</w:t>
      </w:r>
      <w:r>
        <w:rPr>
          <w:rFonts w:hint="eastAsia" w:ascii="黑体" w:hAnsi="黑体" w:eastAsia="黑体"/>
        </w:rPr>
        <w:t>2 斜坡孕灾地质条件调查记录表（续）</w:t>
      </w:r>
    </w:p>
    <w:tbl>
      <w:tblPr>
        <w:tblStyle w:val="28"/>
        <w:tblW w:w="92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
        <w:gridCol w:w="8330"/>
      </w:tblGrid>
      <w:tr w14:paraId="0EECF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3" w:hRule="atLeast"/>
          <w:jc w:val="center"/>
        </w:trPr>
        <w:tc>
          <w:tcPr>
            <w:tcW w:w="961" w:type="dxa"/>
            <w:vMerge w:val="restart"/>
            <w:vAlign w:val="center"/>
          </w:tcPr>
          <w:p w14:paraId="12B4071F">
            <w:pPr>
              <w:spacing w:line="240" w:lineRule="auto"/>
              <w:jc w:val="center"/>
              <w:rPr>
                <w:rFonts w:ascii="Times New Roman" w:hAnsi="Times New Roman"/>
                <w:sz w:val="18"/>
                <w:szCs w:val="18"/>
              </w:rPr>
            </w:pPr>
            <w:bookmarkStart w:id="294" w:name="_Hlk168088945"/>
            <w:r>
              <w:rPr>
                <w:rFonts w:ascii="Times New Roman" w:hAnsi="Times New Roman"/>
                <w:sz w:val="18"/>
                <w:szCs w:val="18"/>
              </w:rPr>
              <w:t>孕</w:t>
            </w:r>
          </w:p>
          <w:p w14:paraId="1F81F712">
            <w:pPr>
              <w:spacing w:line="240" w:lineRule="auto"/>
              <w:jc w:val="center"/>
              <w:rPr>
                <w:rFonts w:ascii="Times New Roman" w:hAnsi="Times New Roman"/>
                <w:sz w:val="18"/>
                <w:szCs w:val="18"/>
              </w:rPr>
            </w:pPr>
            <w:r>
              <w:rPr>
                <w:rFonts w:ascii="Times New Roman" w:hAnsi="Times New Roman"/>
                <w:sz w:val="18"/>
                <w:szCs w:val="18"/>
              </w:rPr>
              <w:t>灾</w:t>
            </w:r>
          </w:p>
          <w:p w14:paraId="57F039F7">
            <w:pPr>
              <w:spacing w:line="240" w:lineRule="auto"/>
              <w:jc w:val="center"/>
              <w:rPr>
                <w:rFonts w:ascii="Times New Roman" w:hAnsi="Times New Roman"/>
                <w:sz w:val="18"/>
                <w:szCs w:val="18"/>
              </w:rPr>
            </w:pPr>
            <w:r>
              <w:rPr>
                <w:rFonts w:ascii="Times New Roman" w:hAnsi="Times New Roman"/>
                <w:sz w:val="18"/>
                <w:szCs w:val="18"/>
              </w:rPr>
              <w:t>地</w:t>
            </w:r>
          </w:p>
          <w:p w14:paraId="35EC9D0F">
            <w:pPr>
              <w:spacing w:line="240" w:lineRule="auto"/>
              <w:jc w:val="center"/>
              <w:rPr>
                <w:rFonts w:ascii="Times New Roman" w:hAnsi="Times New Roman"/>
                <w:sz w:val="18"/>
                <w:szCs w:val="18"/>
              </w:rPr>
            </w:pPr>
            <w:r>
              <w:rPr>
                <w:rFonts w:ascii="Times New Roman" w:hAnsi="Times New Roman"/>
                <w:sz w:val="18"/>
                <w:szCs w:val="18"/>
              </w:rPr>
              <w:t>质</w:t>
            </w:r>
          </w:p>
          <w:p w14:paraId="51522A9B">
            <w:pPr>
              <w:spacing w:line="240" w:lineRule="auto"/>
              <w:jc w:val="center"/>
              <w:rPr>
                <w:rFonts w:ascii="Times New Roman" w:hAnsi="Times New Roman"/>
                <w:sz w:val="18"/>
                <w:szCs w:val="18"/>
              </w:rPr>
            </w:pPr>
            <w:r>
              <w:rPr>
                <w:rFonts w:ascii="Times New Roman" w:hAnsi="Times New Roman"/>
                <w:sz w:val="18"/>
                <w:szCs w:val="18"/>
              </w:rPr>
              <w:t>条</w:t>
            </w:r>
          </w:p>
          <w:p w14:paraId="58395433">
            <w:pPr>
              <w:spacing w:line="240" w:lineRule="auto"/>
              <w:jc w:val="center"/>
              <w:rPr>
                <w:rFonts w:ascii="Times New Roman" w:hAnsi="Times New Roman"/>
                <w:sz w:val="18"/>
                <w:szCs w:val="18"/>
              </w:rPr>
            </w:pPr>
            <w:r>
              <w:rPr>
                <w:rFonts w:ascii="Times New Roman" w:hAnsi="Times New Roman"/>
                <w:sz w:val="18"/>
                <w:szCs w:val="18"/>
              </w:rPr>
              <w:t>件</w:t>
            </w:r>
          </w:p>
          <w:p w14:paraId="2A6004D7">
            <w:pPr>
              <w:spacing w:line="240" w:lineRule="auto"/>
              <w:jc w:val="center"/>
              <w:rPr>
                <w:rFonts w:ascii="Times New Roman" w:hAnsi="Times New Roman"/>
                <w:sz w:val="18"/>
                <w:szCs w:val="18"/>
              </w:rPr>
            </w:pPr>
            <w:r>
              <w:rPr>
                <w:rFonts w:ascii="Times New Roman" w:hAnsi="Times New Roman"/>
                <w:sz w:val="18"/>
                <w:szCs w:val="18"/>
              </w:rPr>
              <w:t>特</w:t>
            </w:r>
          </w:p>
          <w:p w14:paraId="40A67D8E">
            <w:pPr>
              <w:spacing w:line="240" w:lineRule="auto"/>
              <w:jc w:val="center"/>
              <w:rPr>
                <w:rFonts w:ascii="Times New Roman" w:hAnsi="Times New Roman"/>
                <w:sz w:val="18"/>
                <w:szCs w:val="18"/>
              </w:rPr>
            </w:pPr>
            <w:r>
              <w:rPr>
                <w:rFonts w:ascii="Times New Roman" w:hAnsi="Times New Roman"/>
                <w:sz w:val="18"/>
                <w:szCs w:val="18"/>
              </w:rPr>
              <w:t>征</w:t>
            </w:r>
          </w:p>
          <w:p w14:paraId="4E2B7512">
            <w:pPr>
              <w:spacing w:line="240" w:lineRule="auto"/>
              <w:jc w:val="center"/>
              <w:rPr>
                <w:rFonts w:ascii="Times New Roman" w:hAnsi="Times New Roman"/>
                <w:sz w:val="18"/>
                <w:szCs w:val="18"/>
              </w:rPr>
            </w:pPr>
            <w:r>
              <w:rPr>
                <w:rFonts w:ascii="Times New Roman" w:hAnsi="Times New Roman"/>
                <w:sz w:val="18"/>
                <w:szCs w:val="18"/>
              </w:rPr>
              <w:t>描</w:t>
            </w:r>
          </w:p>
          <w:p w14:paraId="660B3A87">
            <w:pPr>
              <w:spacing w:line="240" w:lineRule="auto"/>
              <w:jc w:val="center"/>
              <w:rPr>
                <w:rFonts w:ascii="Times New Roman" w:hAnsi="Times New Roman"/>
                <w:sz w:val="18"/>
                <w:szCs w:val="18"/>
              </w:rPr>
            </w:pPr>
            <w:r>
              <w:rPr>
                <w:rFonts w:ascii="Times New Roman" w:hAnsi="Times New Roman"/>
                <w:sz w:val="18"/>
                <w:szCs w:val="18"/>
              </w:rPr>
              <w:t>述</w:t>
            </w:r>
          </w:p>
        </w:tc>
        <w:tc>
          <w:tcPr>
            <w:tcW w:w="8330" w:type="dxa"/>
          </w:tcPr>
          <w:p w14:paraId="57D12E60">
            <w:pPr>
              <w:spacing w:line="240" w:lineRule="auto"/>
              <w:rPr>
                <w:rFonts w:ascii="Times New Roman" w:hAnsi="Times New Roman"/>
                <w:sz w:val="18"/>
                <w:szCs w:val="18"/>
              </w:rPr>
            </w:pPr>
            <w:r>
              <w:rPr>
                <w:rFonts w:ascii="Times New Roman" w:hAnsi="Times New Roman"/>
                <w:sz w:val="18"/>
                <w:szCs w:val="18"/>
              </w:rPr>
              <w:t>植被与土地利用类型：（植被类型、覆盖率以及马刀树、醉汉林等斜坡变形指示标志及其与地质灾害的关系；旱地、水田、草地、灌木、森林、裸地、建设用地、工矿企业用地等及其与地质灾害的关系。）</w:t>
            </w:r>
          </w:p>
        </w:tc>
      </w:tr>
      <w:tr w14:paraId="0CCE1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961" w:type="dxa"/>
            <w:vMerge w:val="continue"/>
            <w:vAlign w:val="center"/>
          </w:tcPr>
          <w:p w14:paraId="32E04B63">
            <w:pPr>
              <w:spacing w:line="240" w:lineRule="auto"/>
              <w:jc w:val="center"/>
              <w:rPr>
                <w:rFonts w:ascii="Times New Roman" w:hAnsi="Times New Roman"/>
                <w:sz w:val="18"/>
                <w:szCs w:val="18"/>
              </w:rPr>
            </w:pPr>
          </w:p>
        </w:tc>
        <w:tc>
          <w:tcPr>
            <w:tcW w:w="8330" w:type="dxa"/>
          </w:tcPr>
          <w:p w14:paraId="61B8E24A">
            <w:pPr>
              <w:spacing w:line="240" w:lineRule="auto"/>
              <w:rPr>
                <w:rFonts w:ascii="Times New Roman" w:hAnsi="Times New Roman"/>
                <w:sz w:val="18"/>
                <w:szCs w:val="18"/>
              </w:rPr>
            </w:pPr>
            <w:r>
              <w:rPr>
                <w:rFonts w:ascii="Times New Roman" w:hAnsi="Times New Roman"/>
                <w:sz w:val="18"/>
                <w:szCs w:val="18"/>
              </w:rPr>
              <w:t>人类工程活动：（切坡、堆载、植被破坏、土地整理、爆破振动、矿山采掘、渠塘渗漏、灌溉渗漏、废水排放等，对地质灾害的影响程度。）</w:t>
            </w:r>
          </w:p>
        </w:tc>
      </w:tr>
      <w:tr w14:paraId="0E37A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3" w:hRule="atLeast"/>
          <w:jc w:val="center"/>
        </w:trPr>
        <w:tc>
          <w:tcPr>
            <w:tcW w:w="961" w:type="dxa"/>
            <w:vMerge w:val="continue"/>
            <w:vAlign w:val="center"/>
          </w:tcPr>
          <w:p w14:paraId="5A190EE0">
            <w:pPr>
              <w:spacing w:line="240" w:lineRule="auto"/>
              <w:jc w:val="center"/>
              <w:rPr>
                <w:rFonts w:ascii="Times New Roman" w:hAnsi="Times New Roman"/>
                <w:sz w:val="18"/>
                <w:szCs w:val="18"/>
              </w:rPr>
            </w:pPr>
          </w:p>
        </w:tc>
        <w:tc>
          <w:tcPr>
            <w:tcW w:w="8330" w:type="dxa"/>
          </w:tcPr>
          <w:p w14:paraId="0E5C83C4">
            <w:pPr>
              <w:spacing w:line="240" w:lineRule="auto"/>
              <w:rPr>
                <w:rFonts w:ascii="Times New Roman" w:hAnsi="Times New Roman"/>
                <w:sz w:val="18"/>
                <w:szCs w:val="18"/>
              </w:rPr>
            </w:pPr>
            <w:r>
              <w:rPr>
                <w:rFonts w:ascii="Times New Roman" w:hAnsi="Times New Roman"/>
                <w:sz w:val="18"/>
                <w:szCs w:val="18"/>
              </w:rPr>
              <w:t>其他地质作用与现象：（1. 地面变形，如地面塌陷、地面开裂等；2.特殊岩土灾害，如硅藻土、膨胀土胀缩等；3.土地退化，如水土流失、土地沙化等；4. 水动力作用，如泉水干涸、塌岸、淤积、溃决等。）</w:t>
            </w:r>
          </w:p>
        </w:tc>
      </w:tr>
      <w:tr w14:paraId="5D938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6" w:hRule="atLeast"/>
          <w:jc w:val="center"/>
        </w:trPr>
        <w:tc>
          <w:tcPr>
            <w:tcW w:w="961" w:type="dxa"/>
            <w:textDirection w:val="tbRlV"/>
            <w:vAlign w:val="center"/>
          </w:tcPr>
          <w:p w14:paraId="083EAC58">
            <w:pPr>
              <w:spacing w:line="240" w:lineRule="auto"/>
              <w:jc w:val="center"/>
              <w:rPr>
                <w:rFonts w:ascii="Times New Roman" w:hAnsi="Times New Roman"/>
                <w:sz w:val="18"/>
                <w:szCs w:val="18"/>
              </w:rPr>
            </w:pPr>
            <w:r>
              <w:rPr>
                <w:rFonts w:ascii="Times New Roman" w:hAnsi="Times New Roman"/>
                <w:sz w:val="18"/>
                <w:szCs w:val="18"/>
              </w:rPr>
              <w:t>稳定性判别</w:t>
            </w:r>
          </w:p>
        </w:tc>
        <w:tc>
          <w:tcPr>
            <w:tcW w:w="8330" w:type="dxa"/>
          </w:tcPr>
          <w:p w14:paraId="67666091">
            <w:pPr>
              <w:spacing w:line="240" w:lineRule="auto"/>
              <w:rPr>
                <w:rFonts w:ascii="Times New Roman" w:hAnsi="Times New Roman"/>
                <w:sz w:val="18"/>
                <w:szCs w:val="18"/>
              </w:rPr>
            </w:pPr>
            <w:r>
              <w:rPr>
                <w:rFonts w:ascii="Times New Roman" w:hAnsi="Times New Roman"/>
                <w:sz w:val="18"/>
                <w:szCs w:val="18"/>
              </w:rPr>
              <w:t>（初步判定斜坡稳定性，圈定影响范围、危害对象）</w:t>
            </w:r>
          </w:p>
        </w:tc>
      </w:tr>
      <w:tr w14:paraId="75FBB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95" w:hRule="atLeast"/>
          <w:jc w:val="center"/>
        </w:trPr>
        <w:tc>
          <w:tcPr>
            <w:tcW w:w="961" w:type="dxa"/>
            <w:textDirection w:val="tbRlV"/>
            <w:vAlign w:val="center"/>
          </w:tcPr>
          <w:p w14:paraId="7FDADBBD">
            <w:pPr>
              <w:spacing w:line="240" w:lineRule="auto"/>
              <w:jc w:val="center"/>
              <w:rPr>
                <w:rFonts w:ascii="Times New Roman" w:hAnsi="Times New Roman"/>
                <w:sz w:val="18"/>
                <w:szCs w:val="18"/>
              </w:rPr>
            </w:pPr>
            <w:r>
              <w:rPr>
                <w:rFonts w:ascii="Times New Roman" w:hAnsi="Times New Roman"/>
                <w:sz w:val="18"/>
                <w:szCs w:val="18"/>
              </w:rPr>
              <w:t>现 象 素 描 或 示 意 图</w:t>
            </w:r>
          </w:p>
        </w:tc>
        <w:tc>
          <w:tcPr>
            <w:tcW w:w="8330" w:type="dxa"/>
          </w:tcPr>
          <w:p w14:paraId="0A2CDBDF">
            <w:pPr>
              <w:spacing w:line="240" w:lineRule="auto"/>
              <w:jc w:val="center"/>
              <w:rPr>
                <w:rFonts w:ascii="Times New Roman" w:hAnsi="Times New Roman"/>
                <w:sz w:val="18"/>
                <w:szCs w:val="18"/>
              </w:rPr>
            </w:pPr>
          </w:p>
        </w:tc>
      </w:tr>
      <w:tr w14:paraId="3A80A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83" w:hRule="atLeast"/>
          <w:jc w:val="center"/>
        </w:trPr>
        <w:tc>
          <w:tcPr>
            <w:tcW w:w="961" w:type="dxa"/>
            <w:textDirection w:val="tbRlV"/>
            <w:vAlign w:val="center"/>
          </w:tcPr>
          <w:p w14:paraId="54B6D503">
            <w:pPr>
              <w:spacing w:line="240" w:lineRule="auto"/>
              <w:jc w:val="center"/>
              <w:rPr>
                <w:rFonts w:ascii="Times New Roman" w:hAnsi="Times New Roman"/>
                <w:sz w:val="18"/>
                <w:szCs w:val="18"/>
              </w:rPr>
            </w:pPr>
            <w:r>
              <w:rPr>
                <w:rFonts w:ascii="Times New Roman" w:hAnsi="Times New Roman"/>
                <w:sz w:val="18"/>
                <w:szCs w:val="18"/>
              </w:rPr>
              <w:t>沿 途 观 测</w:t>
            </w:r>
          </w:p>
        </w:tc>
        <w:tc>
          <w:tcPr>
            <w:tcW w:w="8330" w:type="dxa"/>
            <w:vAlign w:val="center"/>
          </w:tcPr>
          <w:p w14:paraId="0516A6BD">
            <w:pPr>
              <w:spacing w:line="240" w:lineRule="auto"/>
              <w:rPr>
                <w:rFonts w:ascii="Times New Roman" w:hAnsi="Times New Roman"/>
              </w:rPr>
            </w:pPr>
          </w:p>
          <w:p w14:paraId="5107618C">
            <w:pPr>
              <w:spacing w:line="240" w:lineRule="auto"/>
              <w:rPr>
                <w:rFonts w:ascii="Times New Roman" w:hAnsi="Times New Roman"/>
              </w:rPr>
            </w:pPr>
          </w:p>
          <w:p w14:paraId="23361D3D">
            <w:pPr>
              <w:spacing w:line="240" w:lineRule="auto"/>
              <w:rPr>
                <w:rFonts w:ascii="Times New Roman" w:hAnsi="Times New Roman"/>
              </w:rPr>
            </w:pPr>
          </w:p>
          <w:p w14:paraId="6E0C7DC8">
            <w:pPr>
              <w:spacing w:line="240" w:lineRule="auto"/>
              <w:rPr>
                <w:rFonts w:ascii="Times New Roman" w:hAnsi="Times New Roman"/>
              </w:rPr>
            </w:pPr>
          </w:p>
          <w:p w14:paraId="70424C94">
            <w:pPr>
              <w:spacing w:line="240" w:lineRule="auto"/>
              <w:jc w:val="center"/>
              <w:rPr>
                <w:rFonts w:ascii="Times New Roman" w:hAnsi="Times New Roman"/>
                <w:sz w:val="18"/>
                <w:szCs w:val="18"/>
              </w:rPr>
            </w:pPr>
          </w:p>
        </w:tc>
      </w:tr>
      <w:bookmarkEnd w:id="294"/>
    </w:tbl>
    <w:p w14:paraId="77A44FE3">
      <w:pPr>
        <w:pStyle w:val="58"/>
        <w:ind w:firstLine="360"/>
        <w:rPr>
          <w:rFonts w:ascii="Times New Roman"/>
          <w:sz w:val="18"/>
          <w:szCs w:val="18"/>
        </w:rPr>
      </w:pPr>
      <w:r>
        <w:rPr>
          <w:rFonts w:ascii="Times New Roman"/>
          <w:sz w:val="18"/>
          <w:szCs w:val="18"/>
        </w:rPr>
        <w:t xml:space="preserve">记    录：            校    核：           项目负责：             填表日期：      年     月     </w:t>
      </w:r>
      <w:r>
        <w:rPr>
          <w:rFonts w:hint="eastAsia" w:ascii="Times New Roman"/>
          <w:sz w:val="18"/>
          <w:szCs w:val="18"/>
        </w:rPr>
        <w:t>日</w:t>
      </w:r>
    </w:p>
    <w:p w14:paraId="7BC2CCA9">
      <w:pPr>
        <w:pStyle w:val="79"/>
        <w:spacing w:before="156" w:after="156"/>
      </w:pPr>
      <w:r>
        <w:rPr>
          <w:rFonts w:hint="eastAsia"/>
        </w:rPr>
        <w:t>地质环境调查记录表</w:t>
      </w:r>
    </w:p>
    <w:tbl>
      <w:tblPr>
        <w:tblStyle w:val="28"/>
        <w:tblW w:w="9300" w:type="dxa"/>
        <w:jc w:val="center"/>
        <w:tblLayout w:type="fixed"/>
        <w:tblCellMar>
          <w:top w:w="0" w:type="dxa"/>
          <w:left w:w="108" w:type="dxa"/>
          <w:bottom w:w="0" w:type="dxa"/>
          <w:right w:w="108" w:type="dxa"/>
        </w:tblCellMar>
      </w:tblPr>
      <w:tblGrid>
        <w:gridCol w:w="961"/>
        <w:gridCol w:w="1170"/>
        <w:gridCol w:w="1622"/>
        <w:gridCol w:w="1261"/>
        <w:gridCol w:w="1441"/>
        <w:gridCol w:w="2845"/>
      </w:tblGrid>
      <w:tr w14:paraId="44251D28">
        <w:tblPrEx>
          <w:tblCellMar>
            <w:top w:w="0" w:type="dxa"/>
            <w:left w:w="108" w:type="dxa"/>
            <w:bottom w:w="0" w:type="dxa"/>
            <w:right w:w="108" w:type="dxa"/>
          </w:tblCellMar>
        </w:tblPrEx>
        <w:trPr>
          <w:trHeight w:val="407"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57F3917D">
            <w:pPr>
              <w:spacing w:line="240" w:lineRule="auto"/>
              <w:rPr>
                <w:rFonts w:ascii="Times New Roman" w:hAnsi="Times New Roman"/>
                <w:sz w:val="18"/>
                <w:szCs w:val="18"/>
              </w:rPr>
            </w:pPr>
            <w:r>
              <w:rPr>
                <w:rFonts w:ascii="Times New Roman" w:hAnsi="Times New Roman"/>
                <w:sz w:val="18"/>
                <w:szCs w:val="18"/>
              </w:rPr>
              <w:t>统一编号</w:t>
            </w:r>
          </w:p>
        </w:tc>
        <w:tc>
          <w:tcPr>
            <w:tcW w:w="2792" w:type="dxa"/>
            <w:gridSpan w:val="2"/>
            <w:tcBorders>
              <w:top w:val="single" w:color="auto" w:sz="4" w:space="0"/>
              <w:left w:val="single" w:color="auto" w:sz="4" w:space="0"/>
              <w:bottom w:val="single" w:color="auto" w:sz="4" w:space="0"/>
              <w:right w:val="single" w:color="auto" w:sz="4" w:space="0"/>
            </w:tcBorders>
            <w:vAlign w:val="center"/>
          </w:tcPr>
          <w:p w14:paraId="362158CE">
            <w:pPr>
              <w:spacing w:line="240" w:lineRule="auto"/>
              <w:rPr>
                <w:rFonts w:ascii="Times New Roman" w:hAnsi="Times New Roman"/>
                <w:sz w:val="18"/>
                <w:szCs w:val="18"/>
              </w:rPr>
            </w:pPr>
          </w:p>
        </w:tc>
        <w:tc>
          <w:tcPr>
            <w:tcW w:w="1261" w:type="dxa"/>
            <w:tcBorders>
              <w:top w:val="single" w:color="auto" w:sz="4" w:space="0"/>
              <w:left w:val="single" w:color="auto" w:sz="4" w:space="0"/>
              <w:bottom w:val="single" w:color="auto" w:sz="4" w:space="0"/>
              <w:right w:val="single" w:color="auto" w:sz="4" w:space="0"/>
            </w:tcBorders>
            <w:vAlign w:val="center"/>
          </w:tcPr>
          <w:p w14:paraId="3858A776">
            <w:pPr>
              <w:spacing w:line="240" w:lineRule="auto"/>
              <w:jc w:val="center"/>
              <w:rPr>
                <w:rFonts w:ascii="Times New Roman" w:hAnsi="Times New Roman"/>
                <w:sz w:val="18"/>
                <w:szCs w:val="18"/>
              </w:rPr>
            </w:pPr>
            <w:r>
              <w:rPr>
                <w:rFonts w:ascii="Times New Roman" w:hAnsi="Times New Roman"/>
                <w:sz w:val="18"/>
                <w:szCs w:val="18"/>
              </w:rPr>
              <w:t>野外编号</w:t>
            </w:r>
          </w:p>
        </w:tc>
        <w:tc>
          <w:tcPr>
            <w:tcW w:w="4286" w:type="dxa"/>
            <w:gridSpan w:val="2"/>
            <w:tcBorders>
              <w:top w:val="single" w:color="auto" w:sz="4" w:space="0"/>
              <w:left w:val="single" w:color="auto" w:sz="4" w:space="0"/>
              <w:bottom w:val="single" w:color="auto" w:sz="4" w:space="0"/>
              <w:right w:val="single" w:color="auto" w:sz="4" w:space="0"/>
            </w:tcBorders>
            <w:vAlign w:val="center"/>
          </w:tcPr>
          <w:p w14:paraId="3C1D1E6D">
            <w:pPr>
              <w:spacing w:line="240" w:lineRule="auto"/>
              <w:rPr>
                <w:rFonts w:ascii="Times New Roman" w:hAnsi="Times New Roman"/>
                <w:sz w:val="18"/>
                <w:szCs w:val="18"/>
              </w:rPr>
            </w:pPr>
          </w:p>
        </w:tc>
      </w:tr>
      <w:tr w14:paraId="62AA6BAC">
        <w:tblPrEx>
          <w:tblCellMar>
            <w:top w:w="0" w:type="dxa"/>
            <w:left w:w="108" w:type="dxa"/>
            <w:bottom w:w="0" w:type="dxa"/>
            <w:right w:w="108" w:type="dxa"/>
          </w:tblCellMar>
        </w:tblPrEx>
        <w:trPr>
          <w:trHeight w:val="407"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5EDC4E0A">
            <w:pPr>
              <w:spacing w:line="240" w:lineRule="auto"/>
              <w:rPr>
                <w:rFonts w:ascii="Times New Roman" w:hAnsi="Times New Roman"/>
                <w:sz w:val="18"/>
                <w:szCs w:val="18"/>
              </w:rPr>
            </w:pPr>
            <w:r>
              <w:rPr>
                <w:rFonts w:ascii="Times New Roman" w:hAnsi="Times New Roman"/>
                <w:sz w:val="18"/>
                <w:szCs w:val="18"/>
              </w:rPr>
              <w:t>地理位置</w:t>
            </w:r>
          </w:p>
        </w:tc>
        <w:tc>
          <w:tcPr>
            <w:tcW w:w="8339" w:type="dxa"/>
            <w:gridSpan w:val="5"/>
            <w:tcBorders>
              <w:top w:val="single" w:color="auto" w:sz="4" w:space="0"/>
              <w:left w:val="single" w:color="auto" w:sz="4" w:space="0"/>
              <w:bottom w:val="single" w:color="auto" w:sz="4" w:space="0"/>
              <w:right w:val="single" w:color="auto" w:sz="4" w:space="0"/>
            </w:tcBorders>
            <w:vAlign w:val="center"/>
          </w:tcPr>
          <w:p w14:paraId="44AAAC8D">
            <w:pPr>
              <w:spacing w:line="240" w:lineRule="auto"/>
              <w:ind w:firstLine="1080" w:firstLineChars="600"/>
              <w:rPr>
                <w:rFonts w:ascii="Times New Roman" w:hAnsi="Times New Roman"/>
                <w:sz w:val="18"/>
                <w:szCs w:val="18"/>
              </w:rPr>
            </w:pPr>
            <w:r>
              <w:rPr>
                <w:rFonts w:ascii="Times New Roman" w:hAnsi="Times New Roman"/>
                <w:sz w:val="18"/>
                <w:szCs w:val="18"/>
              </w:rPr>
              <w:t xml:space="preserve">省      </w:t>
            </w:r>
            <w:r>
              <w:rPr>
                <w:rFonts w:hint="eastAsia" w:ascii="Times New Roman" w:hAnsi="Times New Roman"/>
                <w:sz w:val="18"/>
                <w:szCs w:val="18"/>
              </w:rPr>
              <w:t xml:space="preserve"> </w:t>
            </w:r>
            <w:r>
              <w:rPr>
                <w:rFonts w:ascii="Times New Roman" w:hAnsi="Times New Roman"/>
                <w:sz w:val="18"/>
                <w:szCs w:val="18"/>
              </w:rPr>
              <w:t xml:space="preserve">   市         县（市、区）          乡          村             组    </w:t>
            </w:r>
          </w:p>
        </w:tc>
      </w:tr>
      <w:tr w14:paraId="56339154">
        <w:tblPrEx>
          <w:tblCellMar>
            <w:top w:w="0" w:type="dxa"/>
            <w:left w:w="108" w:type="dxa"/>
            <w:bottom w:w="0" w:type="dxa"/>
            <w:right w:w="108" w:type="dxa"/>
          </w:tblCellMar>
        </w:tblPrEx>
        <w:trPr>
          <w:trHeight w:val="407" w:hRule="atLeast"/>
          <w:jc w:val="center"/>
        </w:trPr>
        <w:tc>
          <w:tcPr>
            <w:tcW w:w="961" w:type="dxa"/>
            <w:vMerge w:val="restart"/>
            <w:tcBorders>
              <w:top w:val="single" w:color="auto" w:sz="4" w:space="0"/>
              <w:left w:val="single" w:color="auto" w:sz="4" w:space="0"/>
              <w:right w:val="single" w:color="auto" w:sz="4" w:space="0"/>
            </w:tcBorders>
            <w:vAlign w:val="center"/>
          </w:tcPr>
          <w:p w14:paraId="3EF18624">
            <w:pPr>
              <w:spacing w:line="240" w:lineRule="auto"/>
              <w:jc w:val="center"/>
              <w:rPr>
                <w:rFonts w:ascii="Times New Roman" w:hAnsi="Times New Roman"/>
                <w:sz w:val="18"/>
                <w:szCs w:val="18"/>
              </w:rPr>
            </w:pPr>
            <w:r>
              <w:rPr>
                <w:rFonts w:ascii="Times New Roman" w:hAnsi="Times New Roman"/>
                <w:sz w:val="18"/>
                <w:szCs w:val="18"/>
              </w:rPr>
              <w:t>坐标</w:t>
            </w:r>
          </w:p>
        </w:tc>
        <w:tc>
          <w:tcPr>
            <w:tcW w:w="1170" w:type="dxa"/>
            <w:tcBorders>
              <w:top w:val="single" w:color="auto" w:sz="4" w:space="0"/>
              <w:left w:val="single" w:color="auto" w:sz="4" w:space="0"/>
              <w:bottom w:val="single" w:color="auto" w:sz="4" w:space="0"/>
              <w:right w:val="single" w:color="auto" w:sz="4" w:space="0"/>
            </w:tcBorders>
            <w:vAlign w:val="center"/>
          </w:tcPr>
          <w:p w14:paraId="52B3F90E">
            <w:pPr>
              <w:spacing w:line="240" w:lineRule="auto"/>
              <w:jc w:val="center"/>
              <w:rPr>
                <w:rFonts w:ascii="Times New Roman" w:hAnsi="Times New Roman"/>
                <w:sz w:val="18"/>
                <w:szCs w:val="18"/>
              </w:rPr>
            </w:pPr>
            <w:r>
              <w:rPr>
                <w:rFonts w:ascii="Times New Roman" w:hAnsi="Times New Roman"/>
                <w:sz w:val="18"/>
                <w:szCs w:val="18"/>
              </w:rPr>
              <w:t>经度</w:t>
            </w:r>
          </w:p>
        </w:tc>
        <w:tc>
          <w:tcPr>
            <w:tcW w:w="2883" w:type="dxa"/>
            <w:gridSpan w:val="2"/>
            <w:tcBorders>
              <w:top w:val="single" w:color="auto" w:sz="4" w:space="0"/>
              <w:left w:val="single" w:color="auto" w:sz="4" w:space="0"/>
              <w:bottom w:val="single" w:color="auto" w:sz="4" w:space="0"/>
              <w:right w:val="single" w:color="auto" w:sz="4" w:space="0"/>
            </w:tcBorders>
            <w:vAlign w:val="center"/>
          </w:tcPr>
          <w:p w14:paraId="5D667017">
            <w:pPr>
              <w:spacing w:line="240" w:lineRule="auto"/>
              <w:jc w:val="center"/>
              <w:rPr>
                <w:rFonts w:ascii="Times New Roman" w:hAnsi="Times New Roman"/>
                <w:sz w:val="18"/>
                <w:szCs w:val="18"/>
              </w:rPr>
            </w:pPr>
            <w:r>
              <w:rPr>
                <w:rFonts w:ascii="Times New Roman" w:hAnsi="Times New Roman"/>
                <w:sz w:val="18"/>
                <w:szCs w:val="18"/>
              </w:rPr>
              <w:t>°        ′       ″</w:t>
            </w:r>
          </w:p>
        </w:tc>
        <w:tc>
          <w:tcPr>
            <w:tcW w:w="1441" w:type="dxa"/>
            <w:tcBorders>
              <w:top w:val="single" w:color="auto" w:sz="4" w:space="0"/>
              <w:left w:val="single" w:color="auto" w:sz="4" w:space="0"/>
              <w:bottom w:val="single" w:color="auto" w:sz="4" w:space="0"/>
              <w:right w:val="single" w:color="auto" w:sz="4" w:space="0"/>
            </w:tcBorders>
            <w:vAlign w:val="center"/>
          </w:tcPr>
          <w:p w14:paraId="3DE712AC">
            <w:pPr>
              <w:spacing w:line="240" w:lineRule="auto"/>
              <w:jc w:val="center"/>
              <w:rPr>
                <w:rFonts w:ascii="Times New Roman" w:hAnsi="Times New Roman"/>
                <w:sz w:val="18"/>
                <w:szCs w:val="18"/>
              </w:rPr>
            </w:pPr>
            <w:r>
              <w:rPr>
                <w:rFonts w:ascii="Times New Roman" w:hAnsi="Times New Roman"/>
                <w:sz w:val="18"/>
                <w:szCs w:val="18"/>
              </w:rPr>
              <w:t>纬度</w:t>
            </w:r>
          </w:p>
        </w:tc>
        <w:tc>
          <w:tcPr>
            <w:tcW w:w="2845" w:type="dxa"/>
            <w:tcBorders>
              <w:top w:val="single" w:color="auto" w:sz="4" w:space="0"/>
              <w:left w:val="single" w:color="auto" w:sz="4" w:space="0"/>
              <w:bottom w:val="single" w:color="auto" w:sz="4" w:space="0"/>
              <w:right w:val="single" w:color="auto" w:sz="4" w:space="0"/>
            </w:tcBorders>
            <w:vAlign w:val="center"/>
          </w:tcPr>
          <w:p w14:paraId="64C43509">
            <w:pPr>
              <w:spacing w:line="240" w:lineRule="auto"/>
              <w:jc w:val="center"/>
              <w:rPr>
                <w:rFonts w:ascii="Times New Roman" w:hAnsi="Times New Roman"/>
                <w:sz w:val="18"/>
                <w:szCs w:val="18"/>
              </w:rPr>
            </w:pPr>
            <w:r>
              <w:rPr>
                <w:rFonts w:ascii="Times New Roman" w:hAnsi="Times New Roman"/>
                <w:sz w:val="18"/>
                <w:szCs w:val="18"/>
              </w:rPr>
              <w:t>°        ′       ″</w:t>
            </w:r>
          </w:p>
        </w:tc>
      </w:tr>
      <w:tr w14:paraId="0958DB39">
        <w:tblPrEx>
          <w:tblCellMar>
            <w:top w:w="0" w:type="dxa"/>
            <w:left w:w="108" w:type="dxa"/>
            <w:bottom w:w="0" w:type="dxa"/>
            <w:right w:w="108" w:type="dxa"/>
          </w:tblCellMar>
        </w:tblPrEx>
        <w:trPr>
          <w:trHeight w:val="407" w:hRule="atLeast"/>
          <w:jc w:val="center"/>
        </w:trPr>
        <w:tc>
          <w:tcPr>
            <w:tcW w:w="961" w:type="dxa"/>
            <w:vMerge w:val="continue"/>
            <w:tcBorders>
              <w:left w:val="single" w:color="auto" w:sz="4" w:space="0"/>
              <w:bottom w:val="single" w:color="auto" w:sz="4" w:space="0"/>
              <w:right w:val="single" w:color="auto" w:sz="4" w:space="0"/>
            </w:tcBorders>
            <w:vAlign w:val="center"/>
          </w:tcPr>
          <w:p w14:paraId="135B3569">
            <w:pPr>
              <w:spacing w:line="240" w:lineRule="auto"/>
              <w:rPr>
                <w:rFonts w:ascii="Times New Roman" w:hAnsi="Times New Roman"/>
                <w:sz w:val="18"/>
                <w:szCs w:val="18"/>
              </w:rPr>
            </w:pPr>
          </w:p>
        </w:tc>
        <w:tc>
          <w:tcPr>
            <w:tcW w:w="1170" w:type="dxa"/>
            <w:tcBorders>
              <w:left w:val="single" w:color="auto" w:sz="4" w:space="0"/>
              <w:bottom w:val="single" w:color="auto" w:sz="4" w:space="0"/>
              <w:right w:val="single" w:color="auto" w:sz="4" w:space="0"/>
            </w:tcBorders>
            <w:vAlign w:val="center"/>
          </w:tcPr>
          <w:p w14:paraId="2D1CB438">
            <w:pPr>
              <w:spacing w:line="240" w:lineRule="auto"/>
              <w:jc w:val="center"/>
              <w:rPr>
                <w:rFonts w:ascii="Times New Roman" w:hAnsi="Times New Roman"/>
                <w:sz w:val="18"/>
                <w:szCs w:val="18"/>
              </w:rPr>
            </w:pPr>
            <w:r>
              <w:rPr>
                <w:rFonts w:ascii="Times New Roman" w:hAnsi="Times New Roman"/>
                <w:sz w:val="18"/>
                <w:szCs w:val="18"/>
              </w:rPr>
              <w:t>X</w:t>
            </w:r>
          </w:p>
        </w:tc>
        <w:tc>
          <w:tcPr>
            <w:tcW w:w="2883" w:type="dxa"/>
            <w:gridSpan w:val="2"/>
            <w:tcBorders>
              <w:left w:val="single" w:color="auto" w:sz="4" w:space="0"/>
              <w:bottom w:val="single" w:color="auto" w:sz="4" w:space="0"/>
              <w:right w:val="single" w:color="auto" w:sz="4" w:space="0"/>
            </w:tcBorders>
            <w:vAlign w:val="center"/>
          </w:tcPr>
          <w:p w14:paraId="413A8F3A">
            <w:pPr>
              <w:spacing w:line="240" w:lineRule="auto"/>
              <w:jc w:val="center"/>
              <w:rPr>
                <w:rFonts w:ascii="Times New Roman" w:hAnsi="Times New Roman"/>
                <w:sz w:val="18"/>
                <w:szCs w:val="18"/>
              </w:rPr>
            </w:pPr>
          </w:p>
        </w:tc>
        <w:tc>
          <w:tcPr>
            <w:tcW w:w="1441" w:type="dxa"/>
            <w:tcBorders>
              <w:left w:val="single" w:color="auto" w:sz="4" w:space="0"/>
              <w:bottom w:val="single" w:color="auto" w:sz="4" w:space="0"/>
              <w:right w:val="single" w:color="auto" w:sz="4" w:space="0"/>
            </w:tcBorders>
            <w:vAlign w:val="center"/>
          </w:tcPr>
          <w:p w14:paraId="7E957776">
            <w:pPr>
              <w:spacing w:line="240" w:lineRule="auto"/>
              <w:jc w:val="center"/>
              <w:rPr>
                <w:rFonts w:ascii="Times New Roman" w:hAnsi="Times New Roman"/>
                <w:sz w:val="18"/>
                <w:szCs w:val="18"/>
              </w:rPr>
            </w:pPr>
            <w:r>
              <w:rPr>
                <w:rFonts w:ascii="Times New Roman" w:hAnsi="Times New Roman"/>
                <w:sz w:val="18"/>
                <w:szCs w:val="18"/>
              </w:rPr>
              <w:t>Y</w:t>
            </w:r>
          </w:p>
        </w:tc>
        <w:tc>
          <w:tcPr>
            <w:tcW w:w="2845" w:type="dxa"/>
            <w:tcBorders>
              <w:top w:val="single" w:color="auto" w:sz="4" w:space="0"/>
              <w:left w:val="single" w:color="auto" w:sz="4" w:space="0"/>
              <w:bottom w:val="single" w:color="auto" w:sz="4" w:space="0"/>
              <w:right w:val="single" w:color="auto" w:sz="4" w:space="0"/>
            </w:tcBorders>
            <w:vAlign w:val="center"/>
          </w:tcPr>
          <w:p w14:paraId="4714F070">
            <w:pPr>
              <w:spacing w:line="240" w:lineRule="auto"/>
              <w:jc w:val="center"/>
              <w:rPr>
                <w:rFonts w:ascii="Times New Roman" w:hAnsi="Times New Roman"/>
                <w:sz w:val="18"/>
                <w:szCs w:val="18"/>
              </w:rPr>
            </w:pPr>
          </w:p>
        </w:tc>
      </w:tr>
      <w:tr w14:paraId="3BCE16B7">
        <w:tblPrEx>
          <w:tblCellMar>
            <w:top w:w="0" w:type="dxa"/>
            <w:left w:w="108" w:type="dxa"/>
            <w:bottom w:w="0" w:type="dxa"/>
            <w:right w:w="108" w:type="dxa"/>
          </w:tblCellMar>
        </w:tblPrEx>
        <w:trPr>
          <w:trHeight w:val="662"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30DEC7B7">
            <w:pPr>
              <w:spacing w:line="240" w:lineRule="auto"/>
              <w:jc w:val="center"/>
              <w:rPr>
                <w:rFonts w:ascii="Times New Roman" w:hAnsi="Times New Roman"/>
                <w:sz w:val="18"/>
                <w:szCs w:val="18"/>
              </w:rPr>
            </w:pPr>
            <w:r>
              <w:rPr>
                <w:rFonts w:ascii="Times New Roman" w:hAnsi="Times New Roman"/>
                <w:sz w:val="18"/>
                <w:szCs w:val="18"/>
              </w:rPr>
              <w:t>点类型</w:t>
            </w:r>
          </w:p>
        </w:tc>
        <w:tc>
          <w:tcPr>
            <w:tcW w:w="8339" w:type="dxa"/>
            <w:gridSpan w:val="5"/>
            <w:tcBorders>
              <w:top w:val="single" w:color="auto" w:sz="4" w:space="0"/>
              <w:left w:val="single" w:color="auto" w:sz="4" w:space="0"/>
              <w:bottom w:val="single" w:color="auto" w:sz="4" w:space="0"/>
              <w:right w:val="single" w:color="auto" w:sz="4" w:space="0"/>
            </w:tcBorders>
            <w:vAlign w:val="center"/>
          </w:tcPr>
          <w:p w14:paraId="6DA07F2F">
            <w:pPr>
              <w:spacing w:line="240" w:lineRule="auto"/>
              <w:rPr>
                <w:rFonts w:ascii="Times New Roman" w:hAnsi="Times New Roman"/>
                <w:sz w:val="18"/>
                <w:szCs w:val="18"/>
              </w:rPr>
            </w:pPr>
            <w:r>
              <w:rPr>
                <w:rFonts w:ascii="Times New Roman" w:hAnsi="Times New Roman"/>
                <w:sz w:val="18"/>
                <w:szCs w:val="18"/>
              </w:rPr>
              <w:t>□地质灾害  □地形地貌  □</w:t>
            </w:r>
            <w:r>
              <w:rPr>
                <w:rFonts w:hint="eastAsia" w:ascii="Times New Roman" w:hAnsi="Times New Roman"/>
                <w:sz w:val="18"/>
                <w:szCs w:val="18"/>
              </w:rPr>
              <w:t>地层岩性</w:t>
            </w:r>
            <w:r>
              <w:rPr>
                <w:rFonts w:ascii="Times New Roman" w:hAnsi="Times New Roman"/>
                <w:sz w:val="18"/>
                <w:szCs w:val="18"/>
              </w:rPr>
              <w:t xml:space="preserve">  □地质构造  □第四系</w:t>
            </w:r>
            <w:r>
              <w:rPr>
                <w:rFonts w:hint="eastAsia" w:ascii="Times New Roman" w:hAnsi="Times New Roman"/>
                <w:sz w:val="18"/>
                <w:szCs w:val="18"/>
              </w:rPr>
              <w:t xml:space="preserve">  </w:t>
            </w:r>
            <w:r>
              <w:rPr>
                <w:rFonts w:ascii="Times New Roman" w:hAnsi="Times New Roman"/>
                <w:sz w:val="18"/>
                <w:szCs w:val="18"/>
              </w:rPr>
              <w:t>□</w:t>
            </w:r>
            <w:r>
              <w:rPr>
                <w:rFonts w:hint="eastAsia" w:ascii="Times New Roman" w:hAnsi="Times New Roman"/>
                <w:sz w:val="18"/>
                <w:szCs w:val="18"/>
              </w:rPr>
              <w:t xml:space="preserve">易崩易滑地层  </w:t>
            </w:r>
            <w:r>
              <w:rPr>
                <w:rFonts w:ascii="Times New Roman" w:hAnsi="Times New Roman"/>
                <w:sz w:val="18"/>
                <w:szCs w:val="18"/>
              </w:rPr>
              <w:t>□软弱夹层</w:t>
            </w:r>
            <w:r>
              <w:rPr>
                <w:rFonts w:hint="eastAsia" w:ascii="Times New Roman" w:hAnsi="Times New Roman"/>
                <w:sz w:val="18"/>
                <w:szCs w:val="18"/>
              </w:rPr>
              <w:t xml:space="preserve">  </w:t>
            </w:r>
            <w:r>
              <w:rPr>
                <w:rFonts w:ascii="Times New Roman" w:hAnsi="Times New Roman"/>
                <w:sz w:val="18"/>
                <w:szCs w:val="18"/>
              </w:rPr>
              <w:t xml:space="preserve">□水文  </w:t>
            </w:r>
          </w:p>
          <w:p w14:paraId="413C27C2">
            <w:pPr>
              <w:spacing w:line="240" w:lineRule="auto"/>
              <w:rPr>
                <w:rFonts w:ascii="Times New Roman" w:hAnsi="Times New Roman"/>
                <w:sz w:val="18"/>
                <w:szCs w:val="18"/>
              </w:rPr>
            </w:pPr>
            <w:r>
              <w:rPr>
                <w:rFonts w:ascii="Times New Roman" w:hAnsi="Times New Roman"/>
                <w:sz w:val="18"/>
                <w:szCs w:val="18"/>
              </w:rPr>
              <w:t>□地质环境问题</w:t>
            </w:r>
            <w:r>
              <w:rPr>
                <w:rFonts w:hint="eastAsia" w:ascii="Times New Roman" w:hAnsi="Times New Roman"/>
                <w:sz w:val="18"/>
                <w:szCs w:val="18"/>
              </w:rPr>
              <w:t xml:space="preserve">  </w:t>
            </w:r>
            <w:r>
              <w:rPr>
                <w:rFonts w:ascii="Times New Roman" w:hAnsi="Times New Roman"/>
                <w:sz w:val="18"/>
                <w:szCs w:val="18"/>
              </w:rPr>
              <w:t>□钻探孔位     □物探      □探槽     □坑探     □取样点    □其他：</w:t>
            </w:r>
            <w:r>
              <w:rPr>
                <w:rFonts w:ascii="Times New Roman" w:hAnsi="Times New Roman"/>
                <w:sz w:val="18"/>
                <w:szCs w:val="18"/>
                <w:u w:val="single"/>
              </w:rPr>
              <w:t xml:space="preserve">          </w:t>
            </w:r>
          </w:p>
        </w:tc>
      </w:tr>
      <w:tr w14:paraId="67E90276">
        <w:tblPrEx>
          <w:tblCellMar>
            <w:top w:w="0" w:type="dxa"/>
            <w:left w:w="108" w:type="dxa"/>
            <w:bottom w:w="0" w:type="dxa"/>
            <w:right w:w="108" w:type="dxa"/>
          </w:tblCellMar>
        </w:tblPrEx>
        <w:trPr>
          <w:trHeight w:val="2620"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6C4A5121">
            <w:pPr>
              <w:spacing w:line="240" w:lineRule="auto"/>
              <w:jc w:val="center"/>
              <w:rPr>
                <w:rFonts w:ascii="Times New Roman" w:hAnsi="Times New Roman"/>
                <w:sz w:val="18"/>
                <w:szCs w:val="18"/>
              </w:rPr>
            </w:pPr>
            <w:r>
              <w:rPr>
                <w:rFonts w:ascii="Times New Roman" w:hAnsi="Times New Roman"/>
                <w:sz w:val="18"/>
                <w:szCs w:val="18"/>
              </w:rPr>
              <w:t>点描述</w:t>
            </w:r>
          </w:p>
        </w:tc>
        <w:tc>
          <w:tcPr>
            <w:tcW w:w="8339" w:type="dxa"/>
            <w:gridSpan w:val="5"/>
            <w:tcBorders>
              <w:top w:val="single" w:color="auto" w:sz="4" w:space="0"/>
              <w:left w:val="single" w:color="auto" w:sz="4" w:space="0"/>
              <w:bottom w:val="single" w:color="auto" w:sz="4" w:space="0"/>
              <w:right w:val="single" w:color="auto" w:sz="4" w:space="0"/>
            </w:tcBorders>
            <w:vAlign w:val="center"/>
          </w:tcPr>
          <w:p w14:paraId="7A175958">
            <w:pPr>
              <w:spacing w:line="240" w:lineRule="auto"/>
              <w:rPr>
                <w:rFonts w:ascii="Times New Roman" w:hAnsi="Times New Roman"/>
                <w:sz w:val="18"/>
                <w:szCs w:val="18"/>
              </w:rPr>
            </w:pPr>
          </w:p>
          <w:p w14:paraId="6CCB76A2">
            <w:pPr>
              <w:spacing w:line="240" w:lineRule="auto"/>
              <w:rPr>
                <w:rFonts w:ascii="Times New Roman" w:hAnsi="Times New Roman"/>
                <w:sz w:val="18"/>
                <w:szCs w:val="18"/>
              </w:rPr>
            </w:pPr>
          </w:p>
          <w:p w14:paraId="549313D2">
            <w:pPr>
              <w:spacing w:line="240" w:lineRule="auto"/>
              <w:rPr>
                <w:rFonts w:ascii="Times New Roman" w:hAnsi="Times New Roman"/>
                <w:sz w:val="18"/>
                <w:szCs w:val="18"/>
              </w:rPr>
            </w:pPr>
          </w:p>
          <w:p w14:paraId="296C3994">
            <w:pPr>
              <w:spacing w:line="240" w:lineRule="auto"/>
              <w:rPr>
                <w:rFonts w:ascii="Times New Roman" w:hAnsi="Times New Roman"/>
                <w:sz w:val="18"/>
                <w:szCs w:val="18"/>
              </w:rPr>
            </w:pPr>
          </w:p>
          <w:p w14:paraId="37E9B7E3">
            <w:pPr>
              <w:spacing w:line="240" w:lineRule="auto"/>
              <w:rPr>
                <w:rFonts w:ascii="Times New Roman" w:hAnsi="Times New Roman"/>
                <w:sz w:val="18"/>
                <w:szCs w:val="18"/>
              </w:rPr>
            </w:pPr>
          </w:p>
          <w:p w14:paraId="1C404021">
            <w:pPr>
              <w:spacing w:line="240" w:lineRule="auto"/>
              <w:rPr>
                <w:rFonts w:ascii="Times New Roman" w:hAnsi="Times New Roman"/>
                <w:sz w:val="18"/>
                <w:szCs w:val="18"/>
              </w:rPr>
            </w:pPr>
          </w:p>
        </w:tc>
      </w:tr>
      <w:tr w14:paraId="0270ED66">
        <w:tblPrEx>
          <w:tblCellMar>
            <w:top w:w="0" w:type="dxa"/>
            <w:left w:w="108" w:type="dxa"/>
            <w:bottom w:w="0" w:type="dxa"/>
            <w:right w:w="108" w:type="dxa"/>
          </w:tblCellMar>
        </w:tblPrEx>
        <w:trPr>
          <w:trHeight w:val="5556"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711045DA">
            <w:pPr>
              <w:spacing w:line="240" w:lineRule="auto"/>
              <w:jc w:val="center"/>
              <w:rPr>
                <w:rFonts w:ascii="Times New Roman" w:hAnsi="Times New Roman"/>
                <w:sz w:val="18"/>
                <w:szCs w:val="18"/>
              </w:rPr>
            </w:pPr>
            <w:r>
              <w:rPr>
                <w:rFonts w:ascii="Times New Roman" w:hAnsi="Times New Roman"/>
                <w:sz w:val="18"/>
                <w:szCs w:val="18"/>
              </w:rPr>
              <w:t>素描图或示意图</w:t>
            </w:r>
          </w:p>
        </w:tc>
        <w:tc>
          <w:tcPr>
            <w:tcW w:w="8339" w:type="dxa"/>
            <w:gridSpan w:val="5"/>
            <w:tcBorders>
              <w:top w:val="single" w:color="auto" w:sz="4" w:space="0"/>
              <w:left w:val="single" w:color="auto" w:sz="4" w:space="0"/>
              <w:bottom w:val="single" w:color="auto" w:sz="4" w:space="0"/>
              <w:right w:val="single" w:color="auto" w:sz="4" w:space="0"/>
            </w:tcBorders>
            <w:vAlign w:val="center"/>
          </w:tcPr>
          <w:p w14:paraId="1854A5FF">
            <w:pPr>
              <w:spacing w:line="240" w:lineRule="auto"/>
              <w:rPr>
                <w:rFonts w:ascii="Times New Roman" w:hAnsi="Times New Roman"/>
                <w:sz w:val="18"/>
                <w:szCs w:val="18"/>
              </w:rPr>
            </w:pPr>
          </w:p>
        </w:tc>
      </w:tr>
      <w:tr w14:paraId="057F9AB6">
        <w:tblPrEx>
          <w:tblCellMar>
            <w:top w:w="0" w:type="dxa"/>
            <w:left w:w="108" w:type="dxa"/>
            <w:bottom w:w="0" w:type="dxa"/>
            <w:right w:w="108" w:type="dxa"/>
          </w:tblCellMar>
        </w:tblPrEx>
        <w:trPr>
          <w:trHeight w:val="1024" w:hRule="atLeast"/>
          <w:jc w:val="center"/>
        </w:trPr>
        <w:tc>
          <w:tcPr>
            <w:tcW w:w="961" w:type="dxa"/>
            <w:tcBorders>
              <w:top w:val="single" w:color="auto" w:sz="4" w:space="0"/>
              <w:left w:val="single" w:color="auto" w:sz="4" w:space="0"/>
              <w:bottom w:val="single" w:color="auto" w:sz="4" w:space="0"/>
              <w:right w:val="single" w:color="auto" w:sz="4" w:space="0"/>
            </w:tcBorders>
            <w:vAlign w:val="center"/>
          </w:tcPr>
          <w:p w14:paraId="415019A7">
            <w:pPr>
              <w:spacing w:line="240" w:lineRule="auto"/>
              <w:jc w:val="center"/>
              <w:rPr>
                <w:rFonts w:ascii="Times New Roman" w:hAnsi="Times New Roman"/>
                <w:sz w:val="18"/>
                <w:szCs w:val="18"/>
              </w:rPr>
            </w:pPr>
            <w:r>
              <w:rPr>
                <w:rFonts w:ascii="Times New Roman" w:hAnsi="Times New Roman"/>
                <w:sz w:val="18"/>
                <w:szCs w:val="18"/>
              </w:rPr>
              <w:t>备注</w:t>
            </w:r>
          </w:p>
        </w:tc>
        <w:tc>
          <w:tcPr>
            <w:tcW w:w="8339" w:type="dxa"/>
            <w:gridSpan w:val="5"/>
            <w:tcBorders>
              <w:top w:val="single" w:color="auto" w:sz="4" w:space="0"/>
              <w:left w:val="single" w:color="auto" w:sz="4" w:space="0"/>
              <w:bottom w:val="single" w:color="auto" w:sz="4" w:space="0"/>
              <w:right w:val="single" w:color="auto" w:sz="4" w:space="0"/>
            </w:tcBorders>
            <w:vAlign w:val="center"/>
          </w:tcPr>
          <w:p w14:paraId="38F4ECF8">
            <w:pPr>
              <w:spacing w:line="240" w:lineRule="auto"/>
              <w:rPr>
                <w:rFonts w:ascii="Times New Roman" w:hAnsi="Times New Roman"/>
                <w:sz w:val="18"/>
                <w:szCs w:val="18"/>
              </w:rPr>
            </w:pPr>
          </w:p>
          <w:p w14:paraId="2733B3A5">
            <w:pPr>
              <w:spacing w:line="240" w:lineRule="auto"/>
              <w:rPr>
                <w:rFonts w:ascii="Times New Roman" w:hAnsi="Times New Roman"/>
                <w:sz w:val="18"/>
                <w:szCs w:val="18"/>
              </w:rPr>
            </w:pPr>
          </w:p>
        </w:tc>
      </w:tr>
    </w:tbl>
    <w:p w14:paraId="1CA784E5">
      <w:pPr>
        <w:pStyle w:val="58"/>
        <w:ind w:firstLine="360"/>
        <w:rPr>
          <w:rFonts w:ascii="Times New Roman"/>
          <w:sz w:val="18"/>
          <w:szCs w:val="18"/>
        </w:rPr>
      </w:pPr>
      <w:bookmarkStart w:id="295" w:name="_Hlk168089097"/>
      <w:r>
        <w:rPr>
          <w:rFonts w:ascii="Times New Roman"/>
          <w:sz w:val="18"/>
          <w:szCs w:val="18"/>
        </w:rPr>
        <w:t xml:space="preserve">记    录：            校    核：           项目负责：             填表日期：      年     月     </w:t>
      </w:r>
      <w:r>
        <w:rPr>
          <w:rFonts w:hint="eastAsia" w:ascii="Times New Roman"/>
          <w:sz w:val="18"/>
          <w:szCs w:val="18"/>
        </w:rPr>
        <w:t>日</w:t>
      </w:r>
      <w:bookmarkEnd w:id="295"/>
    </w:p>
    <w:p w14:paraId="0C31E107">
      <w:pPr>
        <w:pStyle w:val="58"/>
        <w:ind w:firstLine="360"/>
        <w:rPr>
          <w:rFonts w:ascii="Times New Roman"/>
          <w:sz w:val="18"/>
          <w:szCs w:val="18"/>
        </w:rPr>
      </w:pPr>
    </w:p>
    <w:p w14:paraId="06CE90DB">
      <w:pPr>
        <w:pStyle w:val="58"/>
        <w:ind w:firstLine="360"/>
        <w:rPr>
          <w:rFonts w:ascii="Times New Roman"/>
          <w:sz w:val="18"/>
          <w:szCs w:val="18"/>
        </w:rPr>
      </w:pPr>
    </w:p>
    <w:p w14:paraId="7538433A">
      <w:pPr>
        <w:pStyle w:val="58"/>
        <w:ind w:firstLine="360"/>
        <w:rPr>
          <w:rFonts w:ascii="Times New Roman"/>
          <w:sz w:val="18"/>
          <w:szCs w:val="18"/>
        </w:rPr>
      </w:pPr>
    </w:p>
    <w:p w14:paraId="70150710">
      <w:pPr>
        <w:pStyle w:val="79"/>
        <w:spacing w:before="156" w:after="156"/>
      </w:pPr>
      <w:r>
        <w:rPr>
          <w:rFonts w:hint="eastAsia"/>
        </w:rPr>
        <w:t>滑坡及隐患调查记录表</w:t>
      </w:r>
    </w:p>
    <w:tbl>
      <w:tblPr>
        <w:tblStyle w:val="28"/>
        <w:tblW w:w="9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421"/>
        <w:gridCol w:w="287"/>
        <w:gridCol w:w="657"/>
        <w:gridCol w:w="651"/>
        <w:gridCol w:w="104"/>
        <w:gridCol w:w="342"/>
        <w:gridCol w:w="163"/>
        <w:gridCol w:w="698"/>
        <w:gridCol w:w="257"/>
        <w:gridCol w:w="155"/>
        <w:gridCol w:w="405"/>
        <w:gridCol w:w="695"/>
        <w:gridCol w:w="85"/>
        <w:gridCol w:w="153"/>
        <w:gridCol w:w="647"/>
        <w:gridCol w:w="982"/>
        <w:gridCol w:w="130"/>
        <w:gridCol w:w="830"/>
        <w:gridCol w:w="1274"/>
      </w:tblGrid>
      <w:tr w14:paraId="71900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141" w:type="dxa"/>
            <w:gridSpan w:val="2"/>
            <w:vAlign w:val="center"/>
          </w:tcPr>
          <w:p w14:paraId="0F5B0A98">
            <w:pPr>
              <w:spacing w:line="240" w:lineRule="auto"/>
              <w:jc w:val="center"/>
              <w:rPr>
                <w:rFonts w:ascii="宋体" w:hAnsi="宋体" w:cs="宋体"/>
                <w:sz w:val="18"/>
                <w:szCs w:val="18"/>
              </w:rPr>
            </w:pPr>
            <w:bookmarkStart w:id="296" w:name="_Hlk168089128"/>
            <w:r>
              <w:rPr>
                <w:rFonts w:ascii="Times New Roman" w:hAnsi="Times New Roman"/>
                <w:sz w:val="18"/>
                <w:szCs w:val="18"/>
              </w:rPr>
              <w:t>统一编号</w:t>
            </w:r>
          </w:p>
        </w:tc>
        <w:tc>
          <w:tcPr>
            <w:tcW w:w="3314" w:type="dxa"/>
            <w:gridSpan w:val="9"/>
            <w:vAlign w:val="center"/>
          </w:tcPr>
          <w:p w14:paraId="32B219A0">
            <w:pPr>
              <w:spacing w:line="240" w:lineRule="auto"/>
              <w:rPr>
                <w:rFonts w:ascii="宋体" w:hAnsi="宋体" w:cs="宋体"/>
                <w:sz w:val="18"/>
                <w:szCs w:val="18"/>
              </w:rPr>
            </w:pPr>
          </w:p>
        </w:tc>
        <w:tc>
          <w:tcPr>
            <w:tcW w:w="1338" w:type="dxa"/>
            <w:gridSpan w:val="4"/>
            <w:vAlign w:val="center"/>
          </w:tcPr>
          <w:p w14:paraId="758DCFA3">
            <w:pPr>
              <w:spacing w:line="240" w:lineRule="auto"/>
              <w:rPr>
                <w:rFonts w:ascii="宋体" w:hAnsi="宋体" w:cs="宋体"/>
                <w:sz w:val="18"/>
                <w:szCs w:val="18"/>
              </w:rPr>
            </w:pPr>
            <w:r>
              <w:rPr>
                <w:rFonts w:hint="eastAsia" w:ascii="宋体" w:hAnsi="宋体" w:cs="宋体"/>
                <w:sz w:val="18"/>
                <w:szCs w:val="18"/>
              </w:rPr>
              <w:t>野外编号</w:t>
            </w:r>
          </w:p>
        </w:tc>
        <w:tc>
          <w:tcPr>
            <w:tcW w:w="3863" w:type="dxa"/>
            <w:gridSpan w:val="5"/>
            <w:vAlign w:val="center"/>
          </w:tcPr>
          <w:p w14:paraId="5C63891D">
            <w:pPr>
              <w:spacing w:line="240" w:lineRule="auto"/>
              <w:rPr>
                <w:rFonts w:ascii="宋体" w:hAnsi="宋体" w:cs="宋体"/>
                <w:sz w:val="18"/>
                <w:szCs w:val="18"/>
              </w:rPr>
            </w:pPr>
          </w:p>
        </w:tc>
      </w:tr>
      <w:tr w14:paraId="60B56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141" w:type="dxa"/>
            <w:gridSpan w:val="2"/>
            <w:vAlign w:val="center"/>
          </w:tcPr>
          <w:p w14:paraId="3CC6DBE4">
            <w:pPr>
              <w:spacing w:line="240" w:lineRule="auto"/>
              <w:jc w:val="center"/>
              <w:rPr>
                <w:rFonts w:ascii="宋体" w:hAnsi="宋体" w:cs="宋体"/>
                <w:sz w:val="18"/>
                <w:szCs w:val="18"/>
              </w:rPr>
            </w:pPr>
            <w:r>
              <w:rPr>
                <w:rFonts w:hint="eastAsia" w:ascii="Times New Roman" w:hAnsi="Times New Roman"/>
                <w:sz w:val="18"/>
                <w:szCs w:val="18"/>
              </w:rPr>
              <w:t>名称</w:t>
            </w:r>
          </w:p>
        </w:tc>
        <w:tc>
          <w:tcPr>
            <w:tcW w:w="8515" w:type="dxa"/>
            <w:gridSpan w:val="18"/>
            <w:vAlign w:val="center"/>
          </w:tcPr>
          <w:p w14:paraId="33EE86C8">
            <w:pPr>
              <w:spacing w:line="240" w:lineRule="auto"/>
              <w:rPr>
                <w:rFonts w:ascii="宋体" w:hAnsi="宋体" w:cs="宋体"/>
                <w:sz w:val="18"/>
                <w:szCs w:val="18"/>
              </w:rPr>
            </w:pPr>
          </w:p>
        </w:tc>
      </w:tr>
      <w:tr w14:paraId="6253F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141" w:type="dxa"/>
            <w:gridSpan w:val="2"/>
            <w:vAlign w:val="center"/>
          </w:tcPr>
          <w:p w14:paraId="2B7197F1">
            <w:pPr>
              <w:spacing w:line="240" w:lineRule="auto"/>
              <w:jc w:val="center"/>
              <w:rPr>
                <w:rFonts w:ascii="宋体" w:hAnsi="宋体" w:cs="宋体"/>
                <w:sz w:val="18"/>
                <w:szCs w:val="18"/>
              </w:rPr>
            </w:pPr>
            <w:r>
              <w:rPr>
                <w:rFonts w:ascii="Times New Roman" w:hAnsi="Times New Roman"/>
                <w:sz w:val="18"/>
                <w:szCs w:val="18"/>
              </w:rPr>
              <w:t>地理位置</w:t>
            </w:r>
          </w:p>
        </w:tc>
        <w:tc>
          <w:tcPr>
            <w:tcW w:w="8515" w:type="dxa"/>
            <w:gridSpan w:val="18"/>
            <w:vAlign w:val="center"/>
          </w:tcPr>
          <w:p w14:paraId="3FDED311">
            <w:pPr>
              <w:spacing w:line="240" w:lineRule="auto"/>
              <w:ind w:firstLine="1440" w:firstLineChars="800"/>
              <w:rPr>
                <w:rFonts w:ascii="宋体" w:hAnsi="宋体" w:cs="宋体"/>
                <w:sz w:val="18"/>
                <w:szCs w:val="18"/>
              </w:rPr>
            </w:pPr>
            <w:r>
              <w:rPr>
                <w:rFonts w:ascii="Times New Roman" w:hAnsi="Times New Roman"/>
                <w:sz w:val="18"/>
                <w:szCs w:val="18"/>
              </w:rPr>
              <w:t xml:space="preserve">省      </w:t>
            </w:r>
            <w:r>
              <w:rPr>
                <w:rFonts w:hint="eastAsia" w:ascii="Times New Roman" w:hAnsi="Times New Roman"/>
                <w:sz w:val="18"/>
                <w:szCs w:val="18"/>
              </w:rPr>
              <w:t xml:space="preserve"> </w:t>
            </w:r>
            <w:r>
              <w:rPr>
                <w:rFonts w:ascii="Times New Roman" w:hAnsi="Times New Roman"/>
                <w:sz w:val="18"/>
                <w:szCs w:val="18"/>
              </w:rPr>
              <w:t xml:space="preserve">   市         县（市、区）          乡          村             组</w:t>
            </w:r>
          </w:p>
        </w:tc>
      </w:tr>
      <w:tr w14:paraId="33B15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141" w:type="dxa"/>
            <w:gridSpan w:val="2"/>
            <w:vMerge w:val="restart"/>
            <w:vAlign w:val="center"/>
          </w:tcPr>
          <w:p w14:paraId="4A314A68">
            <w:pPr>
              <w:spacing w:line="240" w:lineRule="auto"/>
              <w:jc w:val="center"/>
              <w:rPr>
                <w:rFonts w:ascii="宋体" w:hAnsi="宋体" w:cs="宋体"/>
                <w:sz w:val="18"/>
                <w:szCs w:val="18"/>
              </w:rPr>
            </w:pPr>
            <w:r>
              <w:rPr>
                <w:rFonts w:ascii="Times New Roman" w:hAnsi="Times New Roman"/>
                <w:sz w:val="18"/>
                <w:szCs w:val="18"/>
              </w:rPr>
              <w:t>坐标</w:t>
            </w:r>
          </w:p>
        </w:tc>
        <w:tc>
          <w:tcPr>
            <w:tcW w:w="1699" w:type="dxa"/>
            <w:gridSpan w:val="4"/>
            <w:vAlign w:val="center"/>
          </w:tcPr>
          <w:p w14:paraId="60004960">
            <w:pPr>
              <w:spacing w:line="240" w:lineRule="auto"/>
              <w:jc w:val="center"/>
              <w:rPr>
                <w:rFonts w:ascii="宋体" w:hAnsi="宋体" w:cs="宋体"/>
                <w:sz w:val="18"/>
                <w:szCs w:val="18"/>
              </w:rPr>
            </w:pPr>
            <w:r>
              <w:rPr>
                <w:rFonts w:ascii="Times New Roman" w:hAnsi="Times New Roman"/>
                <w:sz w:val="18"/>
                <w:szCs w:val="18"/>
              </w:rPr>
              <w:t>经度</w:t>
            </w:r>
          </w:p>
        </w:tc>
        <w:tc>
          <w:tcPr>
            <w:tcW w:w="2953" w:type="dxa"/>
            <w:gridSpan w:val="9"/>
            <w:vAlign w:val="center"/>
          </w:tcPr>
          <w:p w14:paraId="060BE0AA">
            <w:pPr>
              <w:spacing w:line="240" w:lineRule="auto"/>
              <w:jc w:val="center"/>
              <w:rPr>
                <w:rFonts w:ascii="宋体" w:hAnsi="宋体" w:cs="宋体"/>
                <w:sz w:val="18"/>
                <w:szCs w:val="18"/>
              </w:rPr>
            </w:pPr>
            <w:r>
              <w:rPr>
                <w:rFonts w:ascii="Times New Roman" w:hAnsi="Times New Roman"/>
                <w:sz w:val="18"/>
                <w:szCs w:val="18"/>
              </w:rPr>
              <w:t>°        ′       ″</w:t>
            </w:r>
          </w:p>
        </w:tc>
        <w:tc>
          <w:tcPr>
            <w:tcW w:w="1629" w:type="dxa"/>
            <w:gridSpan w:val="2"/>
            <w:vAlign w:val="center"/>
          </w:tcPr>
          <w:p w14:paraId="10B685BE">
            <w:pPr>
              <w:spacing w:line="240" w:lineRule="auto"/>
              <w:jc w:val="center"/>
              <w:rPr>
                <w:rFonts w:ascii="宋体" w:hAnsi="宋体" w:cs="宋体"/>
                <w:sz w:val="18"/>
                <w:szCs w:val="18"/>
              </w:rPr>
            </w:pPr>
            <w:r>
              <w:rPr>
                <w:rFonts w:ascii="Times New Roman" w:hAnsi="Times New Roman"/>
                <w:sz w:val="18"/>
                <w:szCs w:val="18"/>
              </w:rPr>
              <w:t>纬度</w:t>
            </w:r>
          </w:p>
        </w:tc>
        <w:tc>
          <w:tcPr>
            <w:tcW w:w="2234" w:type="dxa"/>
            <w:gridSpan w:val="3"/>
            <w:vAlign w:val="center"/>
          </w:tcPr>
          <w:p w14:paraId="45359567">
            <w:pPr>
              <w:spacing w:line="240" w:lineRule="auto"/>
              <w:jc w:val="center"/>
              <w:rPr>
                <w:rFonts w:ascii="宋体" w:hAnsi="宋体" w:cs="宋体"/>
                <w:sz w:val="18"/>
                <w:szCs w:val="18"/>
              </w:rPr>
            </w:pPr>
            <w:r>
              <w:rPr>
                <w:rFonts w:ascii="Times New Roman" w:hAnsi="Times New Roman"/>
                <w:sz w:val="18"/>
                <w:szCs w:val="18"/>
              </w:rPr>
              <w:t>°        ′       ″</w:t>
            </w:r>
          </w:p>
        </w:tc>
      </w:tr>
      <w:tr w14:paraId="51967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141" w:type="dxa"/>
            <w:gridSpan w:val="2"/>
            <w:vMerge w:val="continue"/>
            <w:vAlign w:val="center"/>
          </w:tcPr>
          <w:p w14:paraId="36B9897F">
            <w:pPr>
              <w:spacing w:line="240" w:lineRule="auto"/>
              <w:jc w:val="center"/>
              <w:rPr>
                <w:rFonts w:ascii="宋体" w:hAnsi="宋体" w:cs="宋体"/>
                <w:sz w:val="18"/>
                <w:szCs w:val="18"/>
              </w:rPr>
            </w:pPr>
          </w:p>
        </w:tc>
        <w:tc>
          <w:tcPr>
            <w:tcW w:w="1699" w:type="dxa"/>
            <w:gridSpan w:val="4"/>
            <w:vAlign w:val="center"/>
          </w:tcPr>
          <w:p w14:paraId="06DC9FC9">
            <w:pPr>
              <w:spacing w:line="240" w:lineRule="auto"/>
              <w:jc w:val="center"/>
              <w:rPr>
                <w:rFonts w:ascii="宋体" w:hAnsi="宋体" w:cs="宋体"/>
                <w:sz w:val="18"/>
                <w:szCs w:val="18"/>
              </w:rPr>
            </w:pPr>
            <w:r>
              <w:rPr>
                <w:rFonts w:ascii="Times New Roman" w:hAnsi="Times New Roman"/>
                <w:sz w:val="18"/>
                <w:szCs w:val="18"/>
              </w:rPr>
              <w:t>X</w:t>
            </w:r>
          </w:p>
        </w:tc>
        <w:tc>
          <w:tcPr>
            <w:tcW w:w="2953" w:type="dxa"/>
            <w:gridSpan w:val="9"/>
            <w:vAlign w:val="center"/>
          </w:tcPr>
          <w:p w14:paraId="58EAA2E8">
            <w:pPr>
              <w:spacing w:line="240" w:lineRule="auto"/>
              <w:jc w:val="center"/>
              <w:rPr>
                <w:rFonts w:ascii="宋体" w:hAnsi="宋体" w:cs="宋体"/>
                <w:sz w:val="18"/>
                <w:szCs w:val="18"/>
              </w:rPr>
            </w:pPr>
          </w:p>
        </w:tc>
        <w:tc>
          <w:tcPr>
            <w:tcW w:w="1629" w:type="dxa"/>
            <w:gridSpan w:val="2"/>
            <w:vAlign w:val="center"/>
          </w:tcPr>
          <w:p w14:paraId="3C7883A9">
            <w:pPr>
              <w:spacing w:line="240" w:lineRule="auto"/>
              <w:jc w:val="center"/>
              <w:rPr>
                <w:rFonts w:ascii="宋体" w:hAnsi="宋体" w:cs="宋体"/>
                <w:sz w:val="18"/>
                <w:szCs w:val="18"/>
              </w:rPr>
            </w:pPr>
            <w:r>
              <w:rPr>
                <w:rFonts w:ascii="Times New Roman" w:hAnsi="Times New Roman"/>
                <w:sz w:val="18"/>
                <w:szCs w:val="18"/>
              </w:rPr>
              <w:t>Y</w:t>
            </w:r>
          </w:p>
        </w:tc>
        <w:tc>
          <w:tcPr>
            <w:tcW w:w="2234" w:type="dxa"/>
            <w:gridSpan w:val="3"/>
            <w:vAlign w:val="center"/>
          </w:tcPr>
          <w:p w14:paraId="765FBB04">
            <w:pPr>
              <w:spacing w:line="240" w:lineRule="auto"/>
              <w:jc w:val="center"/>
              <w:rPr>
                <w:rFonts w:ascii="宋体" w:hAnsi="宋体" w:cs="宋体"/>
                <w:sz w:val="18"/>
                <w:szCs w:val="18"/>
              </w:rPr>
            </w:pPr>
          </w:p>
        </w:tc>
      </w:tr>
      <w:tr w14:paraId="43ECE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8" w:hRule="atLeast"/>
          <w:jc w:val="center"/>
        </w:trPr>
        <w:tc>
          <w:tcPr>
            <w:tcW w:w="1141" w:type="dxa"/>
            <w:gridSpan w:val="2"/>
            <w:vAlign w:val="center"/>
          </w:tcPr>
          <w:p w14:paraId="13D50B82">
            <w:pPr>
              <w:spacing w:line="240" w:lineRule="auto"/>
              <w:jc w:val="center"/>
              <w:rPr>
                <w:rFonts w:ascii="宋体" w:hAnsi="宋体" w:cs="宋体"/>
                <w:sz w:val="18"/>
                <w:szCs w:val="18"/>
              </w:rPr>
            </w:pPr>
            <w:r>
              <w:rPr>
                <w:rFonts w:hint="eastAsia" w:ascii="宋体" w:hAnsi="宋体" w:cs="宋体"/>
                <w:sz w:val="18"/>
                <w:szCs w:val="18"/>
              </w:rPr>
              <w:t>滑体类型</w:t>
            </w:r>
          </w:p>
        </w:tc>
        <w:tc>
          <w:tcPr>
            <w:tcW w:w="2041" w:type="dxa"/>
            <w:gridSpan w:val="5"/>
            <w:vAlign w:val="center"/>
          </w:tcPr>
          <w:p w14:paraId="6F2747B3">
            <w:pPr>
              <w:spacing w:line="240" w:lineRule="auto"/>
              <w:rPr>
                <w:rFonts w:ascii="宋体" w:hAnsi="宋体" w:cs="宋体"/>
                <w:sz w:val="18"/>
                <w:szCs w:val="18"/>
              </w:rPr>
            </w:pPr>
            <w:r>
              <w:rPr>
                <w:rFonts w:hint="eastAsia" w:ascii="宋体" w:hAnsi="宋体" w:cs="宋体"/>
                <w:sz w:val="18"/>
                <w:szCs w:val="18"/>
              </w:rPr>
              <w:t>□岩质  □土质</w:t>
            </w:r>
          </w:p>
        </w:tc>
        <w:tc>
          <w:tcPr>
            <w:tcW w:w="1118" w:type="dxa"/>
            <w:gridSpan w:val="3"/>
            <w:vMerge w:val="restart"/>
            <w:vAlign w:val="center"/>
          </w:tcPr>
          <w:p w14:paraId="50F69730">
            <w:pPr>
              <w:spacing w:line="240" w:lineRule="auto"/>
              <w:jc w:val="center"/>
              <w:rPr>
                <w:rFonts w:ascii="宋体" w:hAnsi="宋体" w:cs="宋体"/>
                <w:sz w:val="18"/>
                <w:szCs w:val="18"/>
              </w:rPr>
            </w:pPr>
            <w:r>
              <w:rPr>
                <w:rFonts w:hint="eastAsia" w:ascii="宋体" w:hAnsi="宋体" w:cs="宋体"/>
                <w:sz w:val="18"/>
                <w:szCs w:val="18"/>
              </w:rPr>
              <w:t>斜坡结构</w:t>
            </w:r>
          </w:p>
          <w:p w14:paraId="1F12DB57">
            <w:pPr>
              <w:spacing w:line="240" w:lineRule="auto"/>
              <w:jc w:val="center"/>
              <w:rPr>
                <w:rFonts w:ascii="宋体" w:hAnsi="宋体" w:cs="宋体"/>
                <w:sz w:val="18"/>
                <w:szCs w:val="18"/>
              </w:rPr>
            </w:pPr>
            <w:r>
              <w:rPr>
                <w:rFonts w:hint="eastAsia" w:ascii="宋体" w:hAnsi="宋体" w:cs="宋体"/>
                <w:sz w:val="18"/>
                <w:szCs w:val="18"/>
              </w:rPr>
              <w:t>类型</w:t>
            </w:r>
          </w:p>
        </w:tc>
        <w:tc>
          <w:tcPr>
            <w:tcW w:w="5356" w:type="dxa"/>
            <w:gridSpan w:val="10"/>
            <w:vMerge w:val="restart"/>
            <w:vAlign w:val="center"/>
          </w:tcPr>
          <w:p w14:paraId="31755659">
            <w:pPr>
              <w:spacing w:line="240" w:lineRule="auto"/>
              <w:rPr>
                <w:rFonts w:ascii="宋体" w:hAnsi="宋体" w:cs="宋体"/>
                <w:sz w:val="18"/>
                <w:szCs w:val="18"/>
              </w:rPr>
            </w:pPr>
            <w:r>
              <w:rPr>
                <w:rFonts w:hint="eastAsia" w:ascii="宋体" w:hAnsi="宋体" w:cs="宋体"/>
                <w:sz w:val="18"/>
                <w:szCs w:val="18"/>
              </w:rPr>
              <w:t xml:space="preserve">□土质斜坡（□粘性土类斜坡  □碎石类斜坡） </w:t>
            </w:r>
          </w:p>
          <w:p w14:paraId="7D7E6194">
            <w:pPr>
              <w:spacing w:line="240" w:lineRule="auto"/>
              <w:rPr>
                <w:rFonts w:ascii="宋体" w:hAnsi="宋体" w:cs="宋体"/>
                <w:sz w:val="18"/>
                <w:szCs w:val="18"/>
              </w:rPr>
            </w:pPr>
            <w:r>
              <w:rPr>
                <w:rFonts w:hint="eastAsia" w:ascii="宋体" w:hAnsi="宋体" w:cs="宋体"/>
                <w:sz w:val="18"/>
                <w:szCs w:val="18"/>
              </w:rPr>
              <w:t xml:space="preserve">□岩质斜坡（□顺向坡  □斜向坡  □横向坡  □逆向坡 </w:t>
            </w:r>
          </w:p>
          <w:p w14:paraId="74727561">
            <w:pPr>
              <w:spacing w:line="240" w:lineRule="auto"/>
              <w:rPr>
                <w:rFonts w:ascii="宋体" w:hAnsi="宋体" w:cs="宋体"/>
                <w:sz w:val="18"/>
                <w:szCs w:val="18"/>
              </w:rPr>
            </w:pPr>
            <w:r>
              <w:rPr>
                <w:rFonts w:hint="eastAsia" w:ascii="宋体" w:hAnsi="宋体" w:cs="宋体"/>
                <w:sz w:val="18"/>
                <w:szCs w:val="18"/>
              </w:rPr>
              <w:t>□近水平层状坡  □块状结构斜坡）</w:t>
            </w:r>
          </w:p>
          <w:p w14:paraId="660E0BF0">
            <w:pPr>
              <w:spacing w:line="240" w:lineRule="auto"/>
              <w:rPr>
                <w:rFonts w:ascii="宋体" w:hAnsi="宋体" w:cs="宋体"/>
                <w:sz w:val="18"/>
                <w:szCs w:val="18"/>
              </w:rPr>
            </w:pPr>
            <w:r>
              <w:rPr>
                <w:rFonts w:hint="eastAsia" w:ascii="宋体" w:hAnsi="宋体" w:cs="宋体"/>
                <w:sz w:val="18"/>
                <w:szCs w:val="18"/>
              </w:rPr>
              <w:t>□岩土复合斜坡</w:t>
            </w:r>
          </w:p>
        </w:tc>
      </w:tr>
      <w:tr w14:paraId="58AE8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jc w:val="center"/>
        </w:trPr>
        <w:tc>
          <w:tcPr>
            <w:tcW w:w="1141" w:type="dxa"/>
            <w:gridSpan w:val="2"/>
            <w:vAlign w:val="center"/>
          </w:tcPr>
          <w:p w14:paraId="71625247">
            <w:pPr>
              <w:spacing w:line="240" w:lineRule="auto"/>
              <w:jc w:val="center"/>
              <w:rPr>
                <w:rFonts w:ascii="宋体" w:hAnsi="宋体" w:cs="宋体"/>
                <w:sz w:val="18"/>
                <w:szCs w:val="18"/>
              </w:rPr>
            </w:pPr>
            <w:r>
              <w:rPr>
                <w:rFonts w:hint="eastAsia" w:ascii="宋体" w:hAnsi="宋体" w:cs="宋体"/>
                <w:sz w:val="18"/>
                <w:szCs w:val="18"/>
              </w:rPr>
              <w:t>地层岩性</w:t>
            </w:r>
          </w:p>
        </w:tc>
        <w:tc>
          <w:tcPr>
            <w:tcW w:w="2041" w:type="dxa"/>
            <w:gridSpan w:val="5"/>
            <w:vAlign w:val="center"/>
          </w:tcPr>
          <w:p w14:paraId="63FB65C0">
            <w:pPr>
              <w:spacing w:line="240" w:lineRule="auto"/>
              <w:rPr>
                <w:rFonts w:ascii="宋体" w:hAnsi="宋体" w:cs="宋体"/>
                <w:sz w:val="18"/>
                <w:szCs w:val="18"/>
              </w:rPr>
            </w:pPr>
          </w:p>
        </w:tc>
        <w:tc>
          <w:tcPr>
            <w:tcW w:w="1118" w:type="dxa"/>
            <w:gridSpan w:val="3"/>
            <w:vMerge w:val="continue"/>
            <w:vAlign w:val="center"/>
          </w:tcPr>
          <w:p w14:paraId="3E7B6F9C">
            <w:pPr>
              <w:spacing w:line="240" w:lineRule="auto"/>
              <w:jc w:val="center"/>
              <w:rPr>
                <w:rFonts w:ascii="宋体" w:hAnsi="宋体" w:cs="宋体"/>
                <w:sz w:val="18"/>
                <w:szCs w:val="18"/>
              </w:rPr>
            </w:pPr>
          </w:p>
        </w:tc>
        <w:tc>
          <w:tcPr>
            <w:tcW w:w="5356" w:type="dxa"/>
            <w:gridSpan w:val="10"/>
            <w:vMerge w:val="continue"/>
            <w:vAlign w:val="center"/>
          </w:tcPr>
          <w:p w14:paraId="20758CFD">
            <w:pPr>
              <w:spacing w:line="240" w:lineRule="auto"/>
              <w:rPr>
                <w:rFonts w:ascii="宋体" w:hAnsi="宋体" w:cs="宋体"/>
                <w:sz w:val="18"/>
                <w:szCs w:val="18"/>
              </w:rPr>
            </w:pPr>
          </w:p>
        </w:tc>
      </w:tr>
      <w:tr w14:paraId="77B6A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gridSpan w:val="2"/>
            <w:vAlign w:val="center"/>
          </w:tcPr>
          <w:p w14:paraId="3B6A7A7F">
            <w:pPr>
              <w:spacing w:line="240" w:lineRule="auto"/>
              <w:jc w:val="center"/>
              <w:rPr>
                <w:rFonts w:ascii="宋体" w:hAnsi="宋体" w:cs="宋体"/>
                <w:sz w:val="18"/>
                <w:szCs w:val="18"/>
              </w:rPr>
            </w:pPr>
            <w:r>
              <w:rPr>
                <w:rFonts w:hint="eastAsia" w:ascii="宋体" w:hAnsi="宋体" w:cs="宋体"/>
                <w:sz w:val="18"/>
                <w:szCs w:val="18"/>
              </w:rPr>
              <w:t>（潜在）滑面类型</w:t>
            </w:r>
          </w:p>
        </w:tc>
        <w:tc>
          <w:tcPr>
            <w:tcW w:w="8515" w:type="dxa"/>
            <w:gridSpan w:val="18"/>
            <w:vAlign w:val="center"/>
          </w:tcPr>
          <w:p w14:paraId="7EEA25BC">
            <w:pPr>
              <w:spacing w:line="240" w:lineRule="auto"/>
              <w:rPr>
                <w:rFonts w:ascii="宋体" w:hAnsi="宋体" w:cs="宋体"/>
                <w:sz w:val="18"/>
                <w:szCs w:val="18"/>
              </w:rPr>
            </w:pPr>
            <w:r>
              <w:rPr>
                <w:rFonts w:hint="eastAsia" w:ascii="宋体" w:hAnsi="宋体" w:cs="宋体"/>
                <w:sz w:val="18"/>
                <w:szCs w:val="18"/>
              </w:rPr>
              <w:t>□无统一滑动面  □软弱夹层层面  □节理裂隙面  □风化层界面  □基覆界面  □其他</w:t>
            </w:r>
            <w:r>
              <w:rPr>
                <w:rFonts w:hint="eastAsia" w:ascii="宋体" w:hAnsi="宋体" w:cs="宋体"/>
                <w:sz w:val="18"/>
                <w:szCs w:val="18"/>
                <w:u w:val="single"/>
              </w:rPr>
              <w:t xml:space="preserve">               </w:t>
            </w:r>
          </w:p>
        </w:tc>
      </w:tr>
      <w:tr w14:paraId="54D48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0" w:hRule="atLeast"/>
          <w:jc w:val="center"/>
        </w:trPr>
        <w:tc>
          <w:tcPr>
            <w:tcW w:w="1141" w:type="dxa"/>
            <w:gridSpan w:val="2"/>
            <w:vAlign w:val="center"/>
          </w:tcPr>
          <w:p w14:paraId="355A56F0">
            <w:pPr>
              <w:spacing w:line="240" w:lineRule="auto"/>
              <w:jc w:val="center"/>
              <w:rPr>
                <w:rFonts w:ascii="宋体" w:hAnsi="宋体" w:cs="宋体"/>
                <w:sz w:val="18"/>
                <w:szCs w:val="18"/>
              </w:rPr>
            </w:pPr>
            <w:r>
              <w:rPr>
                <w:rFonts w:hint="eastAsia" w:ascii="宋体" w:hAnsi="宋体" w:cs="宋体"/>
                <w:sz w:val="18"/>
                <w:szCs w:val="18"/>
              </w:rPr>
              <w:t>宏观</w:t>
            </w:r>
          </w:p>
          <w:p w14:paraId="65C60908">
            <w:pPr>
              <w:spacing w:line="240" w:lineRule="auto"/>
              <w:jc w:val="center"/>
              <w:rPr>
                <w:rFonts w:ascii="宋体" w:hAnsi="宋体" w:cs="宋体"/>
                <w:sz w:val="18"/>
                <w:szCs w:val="18"/>
              </w:rPr>
            </w:pPr>
            <w:r>
              <w:rPr>
                <w:rFonts w:hint="eastAsia" w:ascii="宋体" w:hAnsi="宋体" w:cs="宋体"/>
                <w:sz w:val="18"/>
                <w:szCs w:val="18"/>
              </w:rPr>
              <w:t>稳定性</w:t>
            </w:r>
          </w:p>
        </w:tc>
        <w:tc>
          <w:tcPr>
            <w:tcW w:w="2041" w:type="dxa"/>
            <w:gridSpan w:val="5"/>
            <w:vAlign w:val="center"/>
          </w:tcPr>
          <w:p w14:paraId="79555B8F">
            <w:pPr>
              <w:spacing w:line="240" w:lineRule="auto"/>
              <w:jc w:val="center"/>
              <w:rPr>
                <w:rFonts w:ascii="宋体" w:hAnsi="宋体" w:cs="宋体"/>
                <w:sz w:val="18"/>
                <w:szCs w:val="18"/>
              </w:rPr>
            </w:pPr>
            <w:r>
              <w:rPr>
                <w:rFonts w:hint="eastAsia" w:ascii="宋体" w:hAnsi="宋体" w:cs="宋体"/>
                <w:sz w:val="18"/>
                <w:szCs w:val="18"/>
              </w:rPr>
              <w:t>□不稳定  □欠稳定</w:t>
            </w:r>
          </w:p>
          <w:p w14:paraId="5AA66D1E">
            <w:pPr>
              <w:spacing w:line="240" w:lineRule="auto"/>
              <w:jc w:val="center"/>
              <w:rPr>
                <w:rFonts w:ascii="宋体" w:hAnsi="宋体" w:cs="宋体"/>
                <w:sz w:val="18"/>
                <w:szCs w:val="18"/>
              </w:rPr>
            </w:pPr>
            <w:r>
              <w:rPr>
                <w:rFonts w:hint="eastAsia" w:ascii="宋体" w:hAnsi="宋体" w:cs="宋体"/>
                <w:sz w:val="18"/>
                <w:szCs w:val="18"/>
              </w:rPr>
              <w:t>□基本稳定  □稳定</w:t>
            </w:r>
          </w:p>
        </w:tc>
        <w:tc>
          <w:tcPr>
            <w:tcW w:w="1118" w:type="dxa"/>
            <w:gridSpan w:val="3"/>
            <w:vAlign w:val="center"/>
          </w:tcPr>
          <w:p w14:paraId="3DB4EE97">
            <w:pPr>
              <w:spacing w:line="240" w:lineRule="auto"/>
              <w:jc w:val="center"/>
              <w:rPr>
                <w:rFonts w:ascii="宋体" w:hAnsi="宋体" w:cs="宋体"/>
                <w:sz w:val="18"/>
                <w:szCs w:val="18"/>
              </w:rPr>
            </w:pPr>
            <w:r>
              <w:rPr>
                <w:rFonts w:hint="eastAsia" w:ascii="宋体" w:hAnsi="宋体" w:cs="宋体"/>
                <w:sz w:val="18"/>
                <w:szCs w:val="18"/>
              </w:rPr>
              <w:t>活动状态</w:t>
            </w:r>
          </w:p>
        </w:tc>
        <w:tc>
          <w:tcPr>
            <w:tcW w:w="5356" w:type="dxa"/>
            <w:gridSpan w:val="10"/>
            <w:vAlign w:val="center"/>
          </w:tcPr>
          <w:p w14:paraId="6131F6C3">
            <w:pPr>
              <w:spacing w:line="240" w:lineRule="auto"/>
              <w:rPr>
                <w:rFonts w:ascii="宋体" w:hAnsi="宋体" w:cs="宋体"/>
                <w:sz w:val="18"/>
                <w:szCs w:val="18"/>
              </w:rPr>
            </w:pPr>
            <w:r>
              <w:rPr>
                <w:rFonts w:hint="eastAsia" w:ascii="宋体" w:hAnsi="宋体" w:cs="宋体"/>
                <w:sz w:val="18"/>
                <w:szCs w:val="18"/>
              </w:rPr>
              <w:t>□蠕变阶段  □加速变形阶段  □破坏阶段  □休止阶段</w:t>
            </w:r>
          </w:p>
        </w:tc>
      </w:tr>
      <w:tr w14:paraId="01956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gridSpan w:val="2"/>
            <w:vAlign w:val="center"/>
          </w:tcPr>
          <w:p w14:paraId="77D373C6">
            <w:pPr>
              <w:spacing w:line="240" w:lineRule="auto"/>
              <w:jc w:val="center"/>
              <w:rPr>
                <w:rFonts w:ascii="宋体" w:hAnsi="宋体" w:cs="宋体"/>
                <w:sz w:val="18"/>
                <w:szCs w:val="18"/>
              </w:rPr>
            </w:pPr>
            <w:r>
              <w:rPr>
                <w:rFonts w:hint="eastAsia" w:ascii="宋体" w:hAnsi="宋体" w:cs="宋体"/>
                <w:sz w:val="18"/>
                <w:szCs w:val="18"/>
              </w:rPr>
              <w:t>扩展方式</w:t>
            </w:r>
          </w:p>
        </w:tc>
        <w:tc>
          <w:tcPr>
            <w:tcW w:w="3159" w:type="dxa"/>
            <w:gridSpan w:val="8"/>
            <w:vAlign w:val="center"/>
          </w:tcPr>
          <w:p w14:paraId="060D5F81">
            <w:pPr>
              <w:spacing w:line="240" w:lineRule="auto"/>
              <w:rPr>
                <w:rFonts w:ascii="宋体" w:hAnsi="宋体" w:cs="宋体"/>
                <w:sz w:val="18"/>
                <w:szCs w:val="18"/>
              </w:rPr>
            </w:pPr>
            <w:r>
              <w:rPr>
                <w:rFonts w:hint="eastAsia" w:ascii="宋体" w:hAnsi="宋体" w:cs="宋体"/>
                <w:sz w:val="18"/>
                <w:szCs w:val="18"/>
              </w:rPr>
              <w:t>□推移式  □牵引式  □复合式</w:t>
            </w:r>
          </w:p>
        </w:tc>
        <w:tc>
          <w:tcPr>
            <w:tcW w:w="1255" w:type="dxa"/>
            <w:gridSpan w:val="3"/>
            <w:vAlign w:val="center"/>
          </w:tcPr>
          <w:p w14:paraId="4A1592FB">
            <w:pPr>
              <w:spacing w:line="240" w:lineRule="auto"/>
              <w:jc w:val="center"/>
              <w:rPr>
                <w:rFonts w:ascii="宋体" w:hAnsi="宋体" w:cs="宋体"/>
                <w:sz w:val="18"/>
                <w:szCs w:val="18"/>
              </w:rPr>
            </w:pPr>
            <w:r>
              <w:rPr>
                <w:rFonts w:hint="eastAsia" w:ascii="宋体" w:hAnsi="宋体" w:cs="宋体"/>
                <w:sz w:val="18"/>
                <w:szCs w:val="18"/>
              </w:rPr>
              <w:t>滑坡时代</w:t>
            </w:r>
          </w:p>
        </w:tc>
        <w:tc>
          <w:tcPr>
            <w:tcW w:w="4101" w:type="dxa"/>
            <w:gridSpan w:val="7"/>
            <w:vAlign w:val="center"/>
          </w:tcPr>
          <w:p w14:paraId="38B48D16">
            <w:pPr>
              <w:spacing w:line="240" w:lineRule="auto"/>
              <w:rPr>
                <w:rFonts w:ascii="宋体" w:hAnsi="宋体" w:cs="宋体"/>
                <w:sz w:val="18"/>
                <w:szCs w:val="18"/>
              </w:rPr>
            </w:pPr>
            <w:r>
              <w:rPr>
                <w:rFonts w:hint="eastAsia" w:ascii="宋体" w:hAnsi="宋体" w:cs="宋体"/>
                <w:sz w:val="18"/>
                <w:szCs w:val="18"/>
              </w:rPr>
              <w:t>□古滑坡  □老滑坡  □新滑坡</w:t>
            </w:r>
          </w:p>
        </w:tc>
      </w:tr>
      <w:tr w14:paraId="6A828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gridSpan w:val="2"/>
            <w:vAlign w:val="center"/>
          </w:tcPr>
          <w:p w14:paraId="5A91E0FB">
            <w:pPr>
              <w:spacing w:line="240" w:lineRule="auto"/>
              <w:jc w:val="center"/>
              <w:rPr>
                <w:rFonts w:ascii="宋体" w:hAnsi="宋体" w:cs="宋体"/>
                <w:sz w:val="18"/>
                <w:szCs w:val="18"/>
              </w:rPr>
            </w:pPr>
            <w:r>
              <w:rPr>
                <w:rFonts w:hint="eastAsia" w:ascii="宋体" w:hAnsi="宋体" w:cs="宋体"/>
                <w:sz w:val="18"/>
                <w:szCs w:val="18"/>
              </w:rPr>
              <w:t>滑动时间</w:t>
            </w:r>
          </w:p>
        </w:tc>
        <w:tc>
          <w:tcPr>
            <w:tcW w:w="8515" w:type="dxa"/>
            <w:gridSpan w:val="18"/>
            <w:vAlign w:val="center"/>
          </w:tcPr>
          <w:p w14:paraId="2970E15E">
            <w:pPr>
              <w:spacing w:line="240" w:lineRule="auto"/>
              <w:rPr>
                <w:rFonts w:ascii="宋体" w:hAnsi="宋体" w:cs="宋体"/>
                <w:sz w:val="18"/>
                <w:szCs w:val="18"/>
              </w:rPr>
            </w:pPr>
            <w:r>
              <w:rPr>
                <w:rFonts w:hint="eastAsia" w:ascii="宋体" w:hAnsi="宋体" w:cs="宋体"/>
                <w:sz w:val="18"/>
                <w:szCs w:val="18"/>
              </w:rPr>
              <w:t xml:space="preserve">        年        月        日        时        分    </w:t>
            </w:r>
            <w:r>
              <w:rPr>
                <w:rFonts w:ascii="Times New Roman" w:hAnsi="Times New Roman"/>
                <w:sz w:val="18"/>
                <w:szCs w:val="18"/>
              </w:rPr>
              <w:t>□不详</w:t>
            </w:r>
          </w:p>
        </w:tc>
      </w:tr>
      <w:tr w14:paraId="338FE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6" w:hRule="atLeast"/>
          <w:jc w:val="center"/>
        </w:trPr>
        <w:tc>
          <w:tcPr>
            <w:tcW w:w="1141" w:type="dxa"/>
            <w:gridSpan w:val="2"/>
            <w:vAlign w:val="center"/>
          </w:tcPr>
          <w:p w14:paraId="2D53AFB6">
            <w:pPr>
              <w:spacing w:line="240" w:lineRule="auto"/>
              <w:jc w:val="center"/>
              <w:rPr>
                <w:rFonts w:ascii="宋体" w:hAnsi="宋体" w:cs="宋体"/>
                <w:sz w:val="18"/>
                <w:szCs w:val="18"/>
              </w:rPr>
            </w:pPr>
            <w:r>
              <w:rPr>
                <w:rFonts w:hint="eastAsia" w:ascii="宋体" w:hAnsi="宋体" w:cs="宋体"/>
                <w:sz w:val="18"/>
                <w:szCs w:val="18"/>
              </w:rPr>
              <w:t>产状</w:t>
            </w:r>
          </w:p>
        </w:tc>
        <w:tc>
          <w:tcPr>
            <w:tcW w:w="1699" w:type="dxa"/>
            <w:gridSpan w:val="4"/>
            <w:vAlign w:val="center"/>
          </w:tcPr>
          <w:p w14:paraId="7E88A3F8">
            <w:pPr>
              <w:spacing w:line="240" w:lineRule="auto"/>
              <w:jc w:val="center"/>
              <w:rPr>
                <w:rFonts w:ascii="宋体" w:hAnsi="宋体" w:cs="宋体"/>
                <w:sz w:val="18"/>
                <w:szCs w:val="18"/>
              </w:rPr>
            </w:pPr>
            <w:r>
              <w:rPr>
                <w:rFonts w:hint="eastAsia" w:ascii="宋体" w:hAnsi="宋体" w:cs="宋体"/>
                <w:sz w:val="18"/>
                <w:szCs w:val="18"/>
              </w:rPr>
              <w:t>倾向（°）</w:t>
            </w:r>
          </w:p>
        </w:tc>
        <w:tc>
          <w:tcPr>
            <w:tcW w:w="1460" w:type="dxa"/>
            <w:gridSpan w:val="4"/>
            <w:vAlign w:val="center"/>
          </w:tcPr>
          <w:p w14:paraId="5B074C8A">
            <w:pPr>
              <w:spacing w:line="240" w:lineRule="auto"/>
              <w:rPr>
                <w:rFonts w:ascii="宋体" w:hAnsi="宋体" w:cs="宋体"/>
                <w:sz w:val="18"/>
                <w:szCs w:val="18"/>
              </w:rPr>
            </w:pPr>
            <w:r>
              <w:rPr>
                <w:rFonts w:hint="eastAsia" w:ascii="宋体" w:hAnsi="宋体" w:cs="宋体"/>
                <w:sz w:val="18"/>
                <w:szCs w:val="18"/>
              </w:rPr>
              <w:t>倾角（°）</w:t>
            </w:r>
          </w:p>
        </w:tc>
        <w:tc>
          <w:tcPr>
            <w:tcW w:w="1255" w:type="dxa"/>
            <w:gridSpan w:val="3"/>
            <w:vMerge w:val="restart"/>
            <w:vAlign w:val="center"/>
          </w:tcPr>
          <w:p w14:paraId="42103641">
            <w:pPr>
              <w:spacing w:line="240" w:lineRule="auto"/>
              <w:rPr>
                <w:rFonts w:ascii="宋体" w:hAnsi="宋体" w:cs="宋体"/>
                <w:sz w:val="18"/>
                <w:szCs w:val="18"/>
              </w:rPr>
            </w:pPr>
            <w:r>
              <w:rPr>
                <w:rFonts w:hint="eastAsia" w:ascii="宋体" w:hAnsi="宋体" w:cs="宋体"/>
                <w:sz w:val="18"/>
                <w:szCs w:val="18"/>
              </w:rPr>
              <w:t>节理产状</w:t>
            </w:r>
          </w:p>
        </w:tc>
        <w:tc>
          <w:tcPr>
            <w:tcW w:w="1997" w:type="dxa"/>
            <w:gridSpan w:val="5"/>
            <w:vAlign w:val="center"/>
          </w:tcPr>
          <w:p w14:paraId="02FE3994">
            <w:pPr>
              <w:spacing w:line="240" w:lineRule="auto"/>
              <w:rPr>
                <w:rFonts w:ascii="宋体" w:hAnsi="宋体" w:cs="宋体"/>
                <w:sz w:val="18"/>
                <w:szCs w:val="18"/>
              </w:rPr>
            </w:pPr>
            <w:r>
              <w:rPr>
                <w:rFonts w:hint="eastAsia" w:ascii="宋体" w:hAnsi="宋体" w:cs="宋体"/>
                <w:sz w:val="18"/>
                <w:szCs w:val="18"/>
              </w:rPr>
              <w:t>倾向（°）</w:t>
            </w:r>
          </w:p>
        </w:tc>
        <w:tc>
          <w:tcPr>
            <w:tcW w:w="2104" w:type="dxa"/>
            <w:gridSpan w:val="2"/>
            <w:vAlign w:val="center"/>
          </w:tcPr>
          <w:p w14:paraId="6DF38DB2">
            <w:pPr>
              <w:spacing w:line="240" w:lineRule="auto"/>
              <w:rPr>
                <w:rFonts w:ascii="宋体" w:hAnsi="宋体" w:cs="宋体"/>
                <w:sz w:val="18"/>
                <w:szCs w:val="18"/>
              </w:rPr>
            </w:pPr>
            <w:r>
              <w:rPr>
                <w:rFonts w:hint="eastAsia" w:ascii="宋体" w:hAnsi="宋体" w:cs="宋体"/>
                <w:sz w:val="18"/>
                <w:szCs w:val="18"/>
              </w:rPr>
              <w:t>倾角（°）</w:t>
            </w:r>
          </w:p>
        </w:tc>
      </w:tr>
      <w:tr w14:paraId="1427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6" w:hRule="atLeast"/>
          <w:jc w:val="center"/>
        </w:trPr>
        <w:tc>
          <w:tcPr>
            <w:tcW w:w="1141" w:type="dxa"/>
            <w:gridSpan w:val="2"/>
            <w:vAlign w:val="center"/>
          </w:tcPr>
          <w:p w14:paraId="32E83919">
            <w:pPr>
              <w:spacing w:line="240" w:lineRule="auto"/>
              <w:jc w:val="center"/>
              <w:rPr>
                <w:rFonts w:ascii="宋体" w:hAnsi="宋体" w:cs="宋体"/>
                <w:sz w:val="18"/>
                <w:szCs w:val="18"/>
              </w:rPr>
            </w:pPr>
            <w:r>
              <w:rPr>
                <w:rFonts w:hint="eastAsia" w:ascii="宋体" w:hAnsi="宋体" w:cs="宋体"/>
                <w:sz w:val="18"/>
                <w:szCs w:val="18"/>
              </w:rPr>
              <w:t>岩层</w:t>
            </w:r>
          </w:p>
        </w:tc>
        <w:tc>
          <w:tcPr>
            <w:tcW w:w="1699" w:type="dxa"/>
            <w:gridSpan w:val="4"/>
            <w:vAlign w:val="center"/>
          </w:tcPr>
          <w:p w14:paraId="11E33BDE">
            <w:pPr>
              <w:spacing w:line="240" w:lineRule="auto"/>
              <w:jc w:val="center"/>
              <w:rPr>
                <w:rFonts w:ascii="宋体" w:hAnsi="宋体" w:cs="宋体"/>
                <w:sz w:val="18"/>
                <w:szCs w:val="18"/>
              </w:rPr>
            </w:pPr>
          </w:p>
        </w:tc>
        <w:tc>
          <w:tcPr>
            <w:tcW w:w="1460" w:type="dxa"/>
            <w:gridSpan w:val="4"/>
            <w:vAlign w:val="center"/>
          </w:tcPr>
          <w:p w14:paraId="557C6793">
            <w:pPr>
              <w:spacing w:line="240" w:lineRule="auto"/>
              <w:rPr>
                <w:rFonts w:ascii="宋体" w:hAnsi="宋体" w:cs="宋体"/>
                <w:sz w:val="18"/>
                <w:szCs w:val="18"/>
              </w:rPr>
            </w:pPr>
          </w:p>
        </w:tc>
        <w:tc>
          <w:tcPr>
            <w:tcW w:w="1255" w:type="dxa"/>
            <w:gridSpan w:val="3"/>
            <w:vMerge w:val="continue"/>
            <w:vAlign w:val="center"/>
          </w:tcPr>
          <w:p w14:paraId="209E4786">
            <w:pPr>
              <w:spacing w:line="240" w:lineRule="auto"/>
              <w:rPr>
                <w:rFonts w:ascii="宋体" w:hAnsi="宋体" w:cs="宋体"/>
                <w:sz w:val="18"/>
                <w:szCs w:val="18"/>
              </w:rPr>
            </w:pPr>
          </w:p>
        </w:tc>
        <w:tc>
          <w:tcPr>
            <w:tcW w:w="1997" w:type="dxa"/>
            <w:gridSpan w:val="5"/>
            <w:vAlign w:val="center"/>
          </w:tcPr>
          <w:p w14:paraId="732AA057">
            <w:pPr>
              <w:spacing w:line="240" w:lineRule="auto"/>
              <w:rPr>
                <w:rFonts w:ascii="宋体" w:hAnsi="宋体" w:cs="宋体"/>
                <w:sz w:val="18"/>
                <w:szCs w:val="18"/>
              </w:rPr>
            </w:pPr>
          </w:p>
        </w:tc>
        <w:tc>
          <w:tcPr>
            <w:tcW w:w="2104" w:type="dxa"/>
            <w:gridSpan w:val="2"/>
            <w:vAlign w:val="center"/>
          </w:tcPr>
          <w:p w14:paraId="45562071">
            <w:pPr>
              <w:spacing w:line="240" w:lineRule="auto"/>
              <w:rPr>
                <w:rFonts w:ascii="宋体" w:hAnsi="宋体" w:cs="宋体"/>
                <w:sz w:val="18"/>
                <w:szCs w:val="18"/>
              </w:rPr>
            </w:pPr>
          </w:p>
        </w:tc>
      </w:tr>
      <w:tr w14:paraId="073BF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6" w:hRule="atLeast"/>
          <w:jc w:val="center"/>
        </w:trPr>
        <w:tc>
          <w:tcPr>
            <w:tcW w:w="1141" w:type="dxa"/>
            <w:gridSpan w:val="2"/>
            <w:vMerge w:val="restart"/>
            <w:vAlign w:val="center"/>
          </w:tcPr>
          <w:p w14:paraId="476E3ECF">
            <w:pPr>
              <w:spacing w:line="240" w:lineRule="auto"/>
              <w:jc w:val="center"/>
              <w:rPr>
                <w:rFonts w:ascii="宋体" w:hAnsi="宋体" w:cs="宋体"/>
                <w:sz w:val="18"/>
                <w:szCs w:val="18"/>
              </w:rPr>
            </w:pPr>
            <w:r>
              <w:rPr>
                <w:rFonts w:hint="eastAsia" w:ascii="宋体" w:hAnsi="宋体" w:cs="宋体"/>
                <w:sz w:val="18"/>
                <w:szCs w:val="18"/>
              </w:rPr>
              <w:t>断层</w:t>
            </w:r>
          </w:p>
        </w:tc>
        <w:tc>
          <w:tcPr>
            <w:tcW w:w="1699" w:type="dxa"/>
            <w:gridSpan w:val="4"/>
            <w:vAlign w:val="center"/>
          </w:tcPr>
          <w:p w14:paraId="6B6C6F14">
            <w:pPr>
              <w:spacing w:line="240" w:lineRule="auto"/>
              <w:jc w:val="center"/>
              <w:rPr>
                <w:rFonts w:ascii="宋体" w:hAnsi="宋体" w:cs="宋体"/>
                <w:sz w:val="18"/>
                <w:szCs w:val="18"/>
              </w:rPr>
            </w:pPr>
          </w:p>
        </w:tc>
        <w:tc>
          <w:tcPr>
            <w:tcW w:w="1460" w:type="dxa"/>
            <w:gridSpan w:val="4"/>
            <w:vAlign w:val="center"/>
          </w:tcPr>
          <w:p w14:paraId="39EE30FA">
            <w:pPr>
              <w:spacing w:line="240" w:lineRule="auto"/>
              <w:rPr>
                <w:rFonts w:ascii="宋体" w:hAnsi="宋体" w:cs="宋体"/>
                <w:sz w:val="18"/>
                <w:szCs w:val="18"/>
              </w:rPr>
            </w:pPr>
          </w:p>
        </w:tc>
        <w:tc>
          <w:tcPr>
            <w:tcW w:w="1255" w:type="dxa"/>
            <w:gridSpan w:val="3"/>
            <w:vMerge w:val="continue"/>
            <w:vAlign w:val="center"/>
          </w:tcPr>
          <w:p w14:paraId="01D9B114">
            <w:pPr>
              <w:spacing w:line="240" w:lineRule="auto"/>
              <w:rPr>
                <w:rFonts w:ascii="宋体" w:hAnsi="宋体" w:cs="宋体"/>
                <w:sz w:val="18"/>
                <w:szCs w:val="18"/>
              </w:rPr>
            </w:pPr>
          </w:p>
        </w:tc>
        <w:tc>
          <w:tcPr>
            <w:tcW w:w="1997" w:type="dxa"/>
            <w:gridSpan w:val="5"/>
            <w:vAlign w:val="center"/>
          </w:tcPr>
          <w:p w14:paraId="176AFFF8">
            <w:pPr>
              <w:spacing w:line="240" w:lineRule="auto"/>
              <w:rPr>
                <w:rFonts w:ascii="宋体" w:hAnsi="宋体" w:cs="宋体"/>
                <w:sz w:val="18"/>
                <w:szCs w:val="18"/>
              </w:rPr>
            </w:pPr>
          </w:p>
        </w:tc>
        <w:tc>
          <w:tcPr>
            <w:tcW w:w="2104" w:type="dxa"/>
            <w:gridSpan w:val="2"/>
            <w:vAlign w:val="center"/>
          </w:tcPr>
          <w:p w14:paraId="7EEA8D4E">
            <w:pPr>
              <w:spacing w:line="240" w:lineRule="auto"/>
              <w:rPr>
                <w:rFonts w:ascii="宋体" w:hAnsi="宋体" w:cs="宋体"/>
                <w:sz w:val="18"/>
                <w:szCs w:val="18"/>
              </w:rPr>
            </w:pPr>
          </w:p>
        </w:tc>
      </w:tr>
      <w:tr w14:paraId="29548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6" w:hRule="atLeast"/>
          <w:jc w:val="center"/>
        </w:trPr>
        <w:tc>
          <w:tcPr>
            <w:tcW w:w="1141" w:type="dxa"/>
            <w:gridSpan w:val="2"/>
            <w:vMerge w:val="continue"/>
            <w:vAlign w:val="center"/>
          </w:tcPr>
          <w:p w14:paraId="2202134B">
            <w:pPr>
              <w:spacing w:line="240" w:lineRule="auto"/>
              <w:jc w:val="center"/>
              <w:rPr>
                <w:rFonts w:ascii="宋体" w:hAnsi="宋体" w:cs="宋体"/>
                <w:sz w:val="18"/>
                <w:szCs w:val="18"/>
              </w:rPr>
            </w:pPr>
          </w:p>
        </w:tc>
        <w:tc>
          <w:tcPr>
            <w:tcW w:w="1699" w:type="dxa"/>
            <w:gridSpan w:val="4"/>
            <w:vAlign w:val="center"/>
          </w:tcPr>
          <w:p w14:paraId="44AAED3A">
            <w:pPr>
              <w:spacing w:line="240" w:lineRule="auto"/>
              <w:jc w:val="center"/>
              <w:rPr>
                <w:rFonts w:ascii="宋体" w:hAnsi="宋体" w:cs="宋体"/>
                <w:sz w:val="18"/>
                <w:szCs w:val="18"/>
              </w:rPr>
            </w:pPr>
          </w:p>
        </w:tc>
        <w:tc>
          <w:tcPr>
            <w:tcW w:w="1460" w:type="dxa"/>
            <w:gridSpan w:val="4"/>
            <w:vAlign w:val="center"/>
          </w:tcPr>
          <w:p w14:paraId="6C5BA0C3">
            <w:pPr>
              <w:spacing w:line="240" w:lineRule="auto"/>
              <w:rPr>
                <w:rFonts w:ascii="宋体" w:hAnsi="宋体" w:cs="宋体"/>
                <w:sz w:val="18"/>
                <w:szCs w:val="18"/>
              </w:rPr>
            </w:pPr>
          </w:p>
        </w:tc>
        <w:tc>
          <w:tcPr>
            <w:tcW w:w="1255" w:type="dxa"/>
            <w:gridSpan w:val="3"/>
            <w:vMerge w:val="continue"/>
            <w:vAlign w:val="center"/>
          </w:tcPr>
          <w:p w14:paraId="123338C0">
            <w:pPr>
              <w:spacing w:line="240" w:lineRule="auto"/>
              <w:rPr>
                <w:rFonts w:ascii="宋体" w:hAnsi="宋体" w:cs="宋体"/>
                <w:sz w:val="18"/>
                <w:szCs w:val="18"/>
              </w:rPr>
            </w:pPr>
          </w:p>
        </w:tc>
        <w:tc>
          <w:tcPr>
            <w:tcW w:w="1997" w:type="dxa"/>
            <w:gridSpan w:val="5"/>
            <w:vAlign w:val="center"/>
          </w:tcPr>
          <w:p w14:paraId="5214E468">
            <w:pPr>
              <w:spacing w:line="240" w:lineRule="auto"/>
              <w:rPr>
                <w:rFonts w:ascii="宋体" w:hAnsi="宋体" w:cs="宋体"/>
                <w:sz w:val="18"/>
                <w:szCs w:val="18"/>
              </w:rPr>
            </w:pPr>
          </w:p>
        </w:tc>
        <w:tc>
          <w:tcPr>
            <w:tcW w:w="2104" w:type="dxa"/>
            <w:gridSpan w:val="2"/>
            <w:vAlign w:val="center"/>
          </w:tcPr>
          <w:p w14:paraId="068B4EA3">
            <w:pPr>
              <w:spacing w:line="240" w:lineRule="auto"/>
              <w:rPr>
                <w:rFonts w:ascii="宋体" w:hAnsi="宋体" w:cs="宋体"/>
                <w:sz w:val="18"/>
                <w:szCs w:val="18"/>
              </w:rPr>
            </w:pPr>
          </w:p>
        </w:tc>
      </w:tr>
      <w:tr w14:paraId="19BCB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gridSpan w:val="2"/>
            <w:vAlign w:val="center"/>
          </w:tcPr>
          <w:p w14:paraId="2B28D5A5">
            <w:pPr>
              <w:spacing w:line="240" w:lineRule="auto"/>
              <w:jc w:val="center"/>
              <w:rPr>
                <w:rFonts w:ascii="宋体" w:hAnsi="宋体" w:cs="宋体"/>
                <w:sz w:val="18"/>
                <w:szCs w:val="18"/>
              </w:rPr>
            </w:pPr>
            <w:r>
              <w:rPr>
                <w:rFonts w:hint="eastAsia" w:ascii="宋体" w:hAnsi="宋体" w:cs="宋体"/>
                <w:sz w:val="18"/>
                <w:szCs w:val="18"/>
              </w:rPr>
              <w:t>诱发因素</w:t>
            </w:r>
          </w:p>
        </w:tc>
        <w:tc>
          <w:tcPr>
            <w:tcW w:w="8515" w:type="dxa"/>
            <w:gridSpan w:val="18"/>
            <w:vAlign w:val="center"/>
          </w:tcPr>
          <w:p w14:paraId="5898D383">
            <w:pPr>
              <w:spacing w:line="240" w:lineRule="auto"/>
              <w:rPr>
                <w:rFonts w:ascii="宋体" w:hAnsi="宋体" w:cs="宋体"/>
                <w:sz w:val="18"/>
                <w:szCs w:val="18"/>
              </w:rPr>
            </w:pPr>
            <w:r>
              <w:rPr>
                <w:rFonts w:hint="eastAsia" w:ascii="宋体" w:hAnsi="宋体" w:cs="宋体"/>
                <w:sz w:val="18"/>
                <w:szCs w:val="18"/>
              </w:rPr>
              <w:t>□降雨  □地震  □河流侵蚀  □冻融  □切坡  □加载  □水事活动  □地下采掘</w:t>
            </w:r>
          </w:p>
          <w:p w14:paraId="79F727BF">
            <w:pPr>
              <w:spacing w:line="240" w:lineRule="auto"/>
              <w:rPr>
                <w:rFonts w:ascii="宋体" w:hAnsi="宋体" w:cs="宋体"/>
                <w:sz w:val="18"/>
                <w:szCs w:val="18"/>
              </w:rPr>
            </w:pPr>
            <w:r>
              <w:rPr>
                <w:rFonts w:hint="eastAsia" w:ascii="宋体" w:hAnsi="宋体" w:cs="宋体"/>
                <w:sz w:val="18"/>
                <w:szCs w:val="18"/>
              </w:rPr>
              <w:t>□其他：</w:t>
            </w:r>
            <w:r>
              <w:rPr>
                <w:rFonts w:hint="eastAsia" w:ascii="宋体" w:hAnsi="宋体" w:cs="宋体"/>
                <w:sz w:val="18"/>
                <w:szCs w:val="18"/>
                <w:u w:val="single"/>
              </w:rPr>
              <w:t xml:space="preserve">              </w:t>
            </w:r>
          </w:p>
        </w:tc>
      </w:tr>
      <w:tr w14:paraId="2E9AB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 w:hRule="atLeast"/>
          <w:jc w:val="center"/>
        </w:trPr>
        <w:tc>
          <w:tcPr>
            <w:tcW w:w="1141" w:type="dxa"/>
            <w:gridSpan w:val="2"/>
            <w:vMerge w:val="restart"/>
            <w:vAlign w:val="center"/>
          </w:tcPr>
          <w:p w14:paraId="78E3298D">
            <w:pPr>
              <w:spacing w:line="240" w:lineRule="auto"/>
              <w:jc w:val="center"/>
              <w:rPr>
                <w:rFonts w:ascii="宋体" w:hAnsi="宋体" w:cs="宋体"/>
                <w:sz w:val="18"/>
                <w:szCs w:val="18"/>
              </w:rPr>
            </w:pPr>
            <w:r>
              <w:rPr>
                <w:rFonts w:hint="eastAsia" w:ascii="宋体" w:hAnsi="宋体" w:cs="宋体"/>
                <w:sz w:val="18"/>
                <w:szCs w:val="18"/>
              </w:rPr>
              <w:t>滑坡形态</w:t>
            </w:r>
          </w:p>
        </w:tc>
        <w:tc>
          <w:tcPr>
            <w:tcW w:w="944" w:type="dxa"/>
            <w:gridSpan w:val="2"/>
            <w:vAlign w:val="center"/>
          </w:tcPr>
          <w:p w14:paraId="3DBDF604">
            <w:pPr>
              <w:spacing w:line="240" w:lineRule="auto"/>
              <w:jc w:val="center"/>
              <w:rPr>
                <w:rFonts w:ascii="宋体" w:hAnsi="宋体" w:cs="宋体"/>
                <w:sz w:val="18"/>
                <w:szCs w:val="18"/>
              </w:rPr>
            </w:pPr>
            <w:r>
              <w:rPr>
                <w:rFonts w:hint="eastAsia" w:ascii="宋体" w:hAnsi="宋体" w:cs="宋体"/>
                <w:sz w:val="18"/>
                <w:szCs w:val="18"/>
              </w:rPr>
              <w:t>平面</w:t>
            </w:r>
          </w:p>
        </w:tc>
        <w:tc>
          <w:tcPr>
            <w:tcW w:w="4355" w:type="dxa"/>
            <w:gridSpan w:val="12"/>
            <w:vAlign w:val="center"/>
          </w:tcPr>
          <w:p w14:paraId="3B93D198">
            <w:pPr>
              <w:spacing w:line="240" w:lineRule="auto"/>
              <w:rPr>
                <w:rFonts w:ascii="宋体" w:hAnsi="宋体" w:cs="宋体"/>
                <w:sz w:val="18"/>
                <w:szCs w:val="18"/>
              </w:rPr>
            </w:pPr>
            <w:r>
              <w:rPr>
                <w:rFonts w:hint="eastAsia" w:ascii="宋体" w:hAnsi="宋体" w:cs="宋体"/>
                <w:sz w:val="18"/>
                <w:szCs w:val="18"/>
              </w:rPr>
              <w:t>□半圆  □矩形  □舌形  □不规则</w:t>
            </w:r>
          </w:p>
        </w:tc>
        <w:tc>
          <w:tcPr>
            <w:tcW w:w="982" w:type="dxa"/>
            <w:vAlign w:val="center"/>
          </w:tcPr>
          <w:p w14:paraId="30DC7B67">
            <w:pPr>
              <w:spacing w:line="240" w:lineRule="auto"/>
              <w:jc w:val="center"/>
              <w:rPr>
                <w:rFonts w:ascii="宋体" w:hAnsi="宋体" w:cs="宋体"/>
                <w:sz w:val="18"/>
                <w:szCs w:val="18"/>
              </w:rPr>
            </w:pPr>
            <w:r>
              <w:rPr>
                <w:rFonts w:hint="eastAsia" w:ascii="宋体" w:hAnsi="宋体" w:cs="宋体"/>
                <w:sz w:val="18"/>
                <w:szCs w:val="18"/>
              </w:rPr>
              <w:t>滑坡坡度</w:t>
            </w:r>
          </w:p>
        </w:tc>
        <w:tc>
          <w:tcPr>
            <w:tcW w:w="960" w:type="dxa"/>
            <w:gridSpan w:val="2"/>
            <w:vAlign w:val="center"/>
          </w:tcPr>
          <w:p w14:paraId="1576E753">
            <w:pPr>
              <w:spacing w:line="240" w:lineRule="auto"/>
              <w:jc w:val="center"/>
              <w:rPr>
                <w:rFonts w:ascii="宋体" w:hAnsi="宋体" w:cs="宋体"/>
                <w:sz w:val="18"/>
                <w:szCs w:val="18"/>
              </w:rPr>
            </w:pPr>
            <w:r>
              <w:rPr>
                <w:rFonts w:hint="eastAsia" w:ascii="宋体" w:hAnsi="宋体" w:cs="宋体"/>
                <w:sz w:val="18"/>
                <w:szCs w:val="18"/>
              </w:rPr>
              <w:t>主滑方向</w:t>
            </w:r>
          </w:p>
        </w:tc>
        <w:tc>
          <w:tcPr>
            <w:tcW w:w="1274" w:type="dxa"/>
            <w:vAlign w:val="center"/>
          </w:tcPr>
          <w:p w14:paraId="0D952AE1">
            <w:pPr>
              <w:spacing w:line="240" w:lineRule="auto"/>
              <w:jc w:val="center"/>
              <w:rPr>
                <w:rFonts w:ascii="宋体" w:hAnsi="宋体" w:cs="宋体"/>
                <w:sz w:val="18"/>
                <w:szCs w:val="18"/>
              </w:rPr>
            </w:pPr>
            <w:r>
              <w:rPr>
                <w:rFonts w:hint="eastAsia" w:ascii="宋体" w:hAnsi="宋体" w:cs="宋体"/>
                <w:sz w:val="18"/>
                <w:szCs w:val="18"/>
              </w:rPr>
              <w:t>实体勾绘</w:t>
            </w:r>
          </w:p>
        </w:tc>
      </w:tr>
      <w:tr w14:paraId="7046E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7" w:hRule="atLeast"/>
          <w:jc w:val="center"/>
        </w:trPr>
        <w:tc>
          <w:tcPr>
            <w:tcW w:w="1141" w:type="dxa"/>
            <w:gridSpan w:val="2"/>
            <w:vMerge w:val="continue"/>
            <w:vAlign w:val="center"/>
          </w:tcPr>
          <w:p w14:paraId="007AD711">
            <w:pPr>
              <w:spacing w:line="240" w:lineRule="auto"/>
              <w:jc w:val="center"/>
              <w:rPr>
                <w:rFonts w:ascii="宋体" w:hAnsi="宋体" w:cs="宋体"/>
                <w:sz w:val="18"/>
                <w:szCs w:val="18"/>
              </w:rPr>
            </w:pPr>
          </w:p>
        </w:tc>
        <w:tc>
          <w:tcPr>
            <w:tcW w:w="944" w:type="dxa"/>
            <w:gridSpan w:val="2"/>
            <w:vAlign w:val="center"/>
          </w:tcPr>
          <w:p w14:paraId="03996931">
            <w:pPr>
              <w:spacing w:line="240" w:lineRule="auto"/>
              <w:jc w:val="center"/>
              <w:rPr>
                <w:rFonts w:ascii="宋体" w:hAnsi="宋体" w:cs="宋体"/>
                <w:sz w:val="18"/>
                <w:szCs w:val="18"/>
              </w:rPr>
            </w:pPr>
            <w:r>
              <w:rPr>
                <w:rFonts w:hint="eastAsia" w:ascii="宋体" w:hAnsi="宋体" w:cs="宋体"/>
                <w:sz w:val="18"/>
                <w:szCs w:val="18"/>
              </w:rPr>
              <w:t>剖面</w:t>
            </w:r>
          </w:p>
        </w:tc>
        <w:tc>
          <w:tcPr>
            <w:tcW w:w="4355" w:type="dxa"/>
            <w:gridSpan w:val="12"/>
            <w:vAlign w:val="center"/>
          </w:tcPr>
          <w:p w14:paraId="2F653141">
            <w:pPr>
              <w:spacing w:line="240" w:lineRule="auto"/>
              <w:rPr>
                <w:rFonts w:ascii="宋体" w:hAnsi="宋体" w:cs="宋体"/>
                <w:sz w:val="18"/>
                <w:szCs w:val="18"/>
              </w:rPr>
            </w:pPr>
            <w:r>
              <w:rPr>
                <w:rFonts w:hint="eastAsia" w:ascii="宋体" w:hAnsi="宋体" w:cs="宋体"/>
                <w:sz w:val="18"/>
                <w:szCs w:val="18"/>
              </w:rPr>
              <w:t>□凸形  □凹形  □直线  □阶梯  □复合</w:t>
            </w:r>
          </w:p>
        </w:tc>
        <w:tc>
          <w:tcPr>
            <w:tcW w:w="982" w:type="dxa"/>
            <w:vAlign w:val="center"/>
          </w:tcPr>
          <w:p w14:paraId="581F4F47">
            <w:pPr>
              <w:spacing w:line="240" w:lineRule="auto"/>
              <w:jc w:val="center"/>
              <w:rPr>
                <w:rFonts w:ascii="宋体" w:hAnsi="宋体" w:cs="宋体"/>
                <w:sz w:val="18"/>
                <w:szCs w:val="18"/>
              </w:rPr>
            </w:pPr>
            <w:r>
              <w:rPr>
                <w:rFonts w:hint="eastAsia" w:ascii="宋体" w:hAnsi="宋体" w:cs="宋体"/>
                <w:sz w:val="18"/>
                <w:szCs w:val="18"/>
              </w:rPr>
              <w:t xml:space="preserve">     °</w:t>
            </w:r>
          </w:p>
        </w:tc>
        <w:tc>
          <w:tcPr>
            <w:tcW w:w="960" w:type="dxa"/>
            <w:gridSpan w:val="2"/>
            <w:vAlign w:val="center"/>
          </w:tcPr>
          <w:p w14:paraId="44314E57">
            <w:pPr>
              <w:spacing w:line="240" w:lineRule="auto"/>
              <w:jc w:val="center"/>
              <w:rPr>
                <w:rFonts w:ascii="宋体" w:hAnsi="宋体" w:cs="宋体"/>
                <w:sz w:val="18"/>
                <w:szCs w:val="18"/>
              </w:rPr>
            </w:pPr>
            <w:r>
              <w:rPr>
                <w:rFonts w:hint="eastAsia" w:ascii="宋体" w:hAnsi="宋体" w:cs="宋体"/>
                <w:sz w:val="18"/>
                <w:szCs w:val="18"/>
              </w:rPr>
              <w:t xml:space="preserve">     °</w:t>
            </w:r>
          </w:p>
        </w:tc>
        <w:tc>
          <w:tcPr>
            <w:tcW w:w="1274" w:type="dxa"/>
            <w:vAlign w:val="center"/>
          </w:tcPr>
          <w:p w14:paraId="32974536">
            <w:pPr>
              <w:spacing w:line="240" w:lineRule="auto"/>
              <w:jc w:val="center"/>
              <w:rPr>
                <w:rFonts w:ascii="宋体" w:hAnsi="宋体" w:cs="宋体"/>
                <w:sz w:val="18"/>
                <w:szCs w:val="18"/>
              </w:rPr>
            </w:pPr>
            <w:r>
              <w:rPr>
                <w:rFonts w:hint="eastAsia" w:ascii="宋体" w:hAnsi="宋体" w:cs="宋体"/>
                <w:sz w:val="18"/>
                <w:szCs w:val="18"/>
              </w:rPr>
              <w:t>□是  □否</w:t>
            </w:r>
          </w:p>
        </w:tc>
      </w:tr>
      <w:tr w14:paraId="10F2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jc w:val="center"/>
        </w:trPr>
        <w:tc>
          <w:tcPr>
            <w:tcW w:w="720" w:type="dxa"/>
            <w:vAlign w:val="center"/>
          </w:tcPr>
          <w:p w14:paraId="6B36C237">
            <w:pPr>
              <w:spacing w:line="240" w:lineRule="auto"/>
              <w:jc w:val="center"/>
              <w:rPr>
                <w:rFonts w:ascii="宋体" w:hAnsi="宋体" w:cs="宋体"/>
                <w:sz w:val="18"/>
                <w:szCs w:val="18"/>
              </w:rPr>
            </w:pPr>
            <w:r>
              <w:rPr>
                <w:rFonts w:hint="eastAsia" w:ascii="宋体" w:hAnsi="宋体" w:cs="宋体"/>
                <w:sz w:val="18"/>
                <w:szCs w:val="18"/>
              </w:rPr>
              <w:t>前缘高程</w:t>
            </w:r>
          </w:p>
        </w:tc>
        <w:tc>
          <w:tcPr>
            <w:tcW w:w="708" w:type="dxa"/>
            <w:gridSpan w:val="2"/>
            <w:vAlign w:val="center"/>
          </w:tcPr>
          <w:p w14:paraId="2EC59AD0">
            <w:pPr>
              <w:spacing w:line="240" w:lineRule="auto"/>
              <w:jc w:val="center"/>
              <w:rPr>
                <w:rFonts w:ascii="宋体" w:hAnsi="宋体" w:cs="宋体"/>
                <w:sz w:val="18"/>
                <w:szCs w:val="18"/>
              </w:rPr>
            </w:pPr>
            <w:r>
              <w:rPr>
                <w:rFonts w:hint="eastAsia" w:ascii="宋体" w:hAnsi="宋体" w:cs="宋体"/>
                <w:sz w:val="18"/>
                <w:szCs w:val="18"/>
              </w:rPr>
              <w:t>后缘高程</w:t>
            </w:r>
          </w:p>
        </w:tc>
        <w:tc>
          <w:tcPr>
            <w:tcW w:w="657" w:type="dxa"/>
            <w:vAlign w:val="center"/>
          </w:tcPr>
          <w:p w14:paraId="6DD0E784">
            <w:pPr>
              <w:spacing w:line="240" w:lineRule="auto"/>
              <w:jc w:val="center"/>
              <w:rPr>
                <w:rFonts w:ascii="宋体" w:hAnsi="宋体" w:cs="宋体"/>
                <w:sz w:val="18"/>
                <w:szCs w:val="18"/>
              </w:rPr>
            </w:pPr>
            <w:r>
              <w:rPr>
                <w:rFonts w:hint="eastAsia" w:ascii="宋体" w:hAnsi="宋体" w:cs="宋体"/>
                <w:sz w:val="18"/>
                <w:szCs w:val="18"/>
              </w:rPr>
              <w:t>长</w:t>
            </w:r>
          </w:p>
        </w:tc>
        <w:tc>
          <w:tcPr>
            <w:tcW w:w="651" w:type="dxa"/>
            <w:vAlign w:val="center"/>
          </w:tcPr>
          <w:p w14:paraId="024E9783">
            <w:pPr>
              <w:spacing w:line="240" w:lineRule="auto"/>
              <w:jc w:val="center"/>
              <w:rPr>
                <w:rFonts w:ascii="宋体" w:hAnsi="宋体" w:cs="宋体"/>
                <w:sz w:val="18"/>
                <w:szCs w:val="18"/>
              </w:rPr>
            </w:pPr>
            <w:r>
              <w:rPr>
                <w:rFonts w:hint="eastAsia" w:ascii="宋体" w:hAnsi="宋体" w:cs="宋体"/>
                <w:sz w:val="18"/>
                <w:szCs w:val="18"/>
              </w:rPr>
              <w:t>前缘宽</w:t>
            </w:r>
          </w:p>
        </w:tc>
        <w:tc>
          <w:tcPr>
            <w:tcW w:w="609" w:type="dxa"/>
            <w:gridSpan w:val="3"/>
            <w:vAlign w:val="center"/>
          </w:tcPr>
          <w:p w14:paraId="1C172714">
            <w:pPr>
              <w:spacing w:line="240" w:lineRule="auto"/>
              <w:jc w:val="center"/>
              <w:rPr>
                <w:rFonts w:ascii="宋体" w:hAnsi="宋体" w:cs="宋体"/>
                <w:sz w:val="18"/>
                <w:szCs w:val="18"/>
              </w:rPr>
            </w:pPr>
            <w:r>
              <w:rPr>
                <w:rFonts w:hint="eastAsia" w:ascii="宋体" w:hAnsi="宋体" w:cs="宋体"/>
                <w:sz w:val="18"/>
                <w:szCs w:val="18"/>
              </w:rPr>
              <w:t>后缘宽</w:t>
            </w:r>
          </w:p>
        </w:tc>
        <w:tc>
          <w:tcPr>
            <w:tcW w:w="698" w:type="dxa"/>
            <w:vAlign w:val="center"/>
          </w:tcPr>
          <w:p w14:paraId="3F42DD5F">
            <w:pPr>
              <w:spacing w:line="240" w:lineRule="auto"/>
              <w:jc w:val="center"/>
              <w:rPr>
                <w:rFonts w:ascii="宋体" w:hAnsi="宋体" w:cs="宋体"/>
                <w:sz w:val="18"/>
                <w:szCs w:val="18"/>
              </w:rPr>
            </w:pPr>
            <w:r>
              <w:rPr>
                <w:rFonts w:hint="eastAsia" w:ascii="宋体" w:hAnsi="宋体" w:cs="宋体"/>
                <w:sz w:val="18"/>
                <w:szCs w:val="18"/>
              </w:rPr>
              <w:t>平均宽</w:t>
            </w:r>
          </w:p>
        </w:tc>
        <w:tc>
          <w:tcPr>
            <w:tcW w:w="817" w:type="dxa"/>
            <w:gridSpan w:val="3"/>
            <w:vAlign w:val="center"/>
          </w:tcPr>
          <w:p w14:paraId="03334B59">
            <w:pPr>
              <w:spacing w:line="240" w:lineRule="auto"/>
              <w:jc w:val="center"/>
              <w:rPr>
                <w:rFonts w:ascii="宋体" w:hAnsi="宋体" w:cs="宋体"/>
                <w:sz w:val="18"/>
                <w:szCs w:val="18"/>
              </w:rPr>
            </w:pPr>
            <w:r>
              <w:rPr>
                <w:rFonts w:hint="eastAsia" w:ascii="宋体" w:hAnsi="宋体" w:cs="宋体"/>
                <w:sz w:val="18"/>
                <w:szCs w:val="18"/>
              </w:rPr>
              <w:t>滑体平均厚度</w:t>
            </w:r>
          </w:p>
        </w:tc>
        <w:tc>
          <w:tcPr>
            <w:tcW w:w="780" w:type="dxa"/>
            <w:gridSpan w:val="2"/>
            <w:vAlign w:val="center"/>
          </w:tcPr>
          <w:p w14:paraId="61DE53E5">
            <w:pPr>
              <w:spacing w:line="240" w:lineRule="auto"/>
              <w:jc w:val="center"/>
              <w:rPr>
                <w:rFonts w:ascii="宋体" w:hAnsi="宋体" w:cs="宋体"/>
                <w:sz w:val="18"/>
                <w:szCs w:val="18"/>
              </w:rPr>
            </w:pPr>
            <w:r>
              <w:rPr>
                <w:rFonts w:hint="eastAsia" w:ascii="宋体" w:hAnsi="宋体" w:cs="宋体"/>
                <w:sz w:val="18"/>
                <w:szCs w:val="18"/>
              </w:rPr>
              <w:t>滑坡</w:t>
            </w:r>
          </w:p>
          <w:p w14:paraId="29456BBC">
            <w:pPr>
              <w:spacing w:line="240" w:lineRule="auto"/>
              <w:jc w:val="center"/>
              <w:rPr>
                <w:rFonts w:ascii="宋体" w:hAnsi="宋体" w:cs="宋体"/>
                <w:sz w:val="18"/>
                <w:szCs w:val="18"/>
              </w:rPr>
            </w:pPr>
            <w:r>
              <w:rPr>
                <w:rFonts w:hint="eastAsia" w:ascii="宋体" w:hAnsi="宋体" w:cs="宋体"/>
                <w:sz w:val="18"/>
                <w:szCs w:val="18"/>
              </w:rPr>
              <w:t>面积</w:t>
            </w:r>
          </w:p>
        </w:tc>
        <w:tc>
          <w:tcPr>
            <w:tcW w:w="800" w:type="dxa"/>
            <w:gridSpan w:val="2"/>
            <w:vAlign w:val="center"/>
          </w:tcPr>
          <w:p w14:paraId="6742D938">
            <w:pPr>
              <w:spacing w:line="240" w:lineRule="auto"/>
              <w:jc w:val="center"/>
              <w:rPr>
                <w:rFonts w:ascii="宋体" w:hAnsi="宋体" w:cs="宋体"/>
                <w:sz w:val="18"/>
                <w:szCs w:val="18"/>
              </w:rPr>
            </w:pPr>
            <w:r>
              <w:rPr>
                <w:rFonts w:hint="eastAsia" w:ascii="宋体" w:hAnsi="宋体" w:cs="宋体"/>
                <w:sz w:val="18"/>
                <w:szCs w:val="18"/>
              </w:rPr>
              <w:t>滑体</w:t>
            </w:r>
          </w:p>
          <w:p w14:paraId="0A9435F4">
            <w:pPr>
              <w:spacing w:line="240" w:lineRule="auto"/>
              <w:jc w:val="center"/>
              <w:rPr>
                <w:rFonts w:ascii="宋体" w:hAnsi="宋体" w:cs="宋体"/>
                <w:sz w:val="18"/>
                <w:szCs w:val="18"/>
              </w:rPr>
            </w:pPr>
            <w:r>
              <w:rPr>
                <w:rFonts w:hint="eastAsia" w:ascii="宋体" w:hAnsi="宋体" w:cs="宋体"/>
                <w:sz w:val="18"/>
                <w:szCs w:val="18"/>
              </w:rPr>
              <w:t>体积</w:t>
            </w:r>
          </w:p>
        </w:tc>
        <w:tc>
          <w:tcPr>
            <w:tcW w:w="3216" w:type="dxa"/>
            <w:gridSpan w:val="4"/>
            <w:vAlign w:val="center"/>
          </w:tcPr>
          <w:p w14:paraId="72E687BC">
            <w:pPr>
              <w:spacing w:line="240" w:lineRule="auto"/>
              <w:jc w:val="center"/>
              <w:rPr>
                <w:rFonts w:ascii="宋体" w:hAnsi="宋体" w:cs="宋体"/>
                <w:sz w:val="18"/>
                <w:szCs w:val="18"/>
              </w:rPr>
            </w:pPr>
            <w:r>
              <w:rPr>
                <w:rFonts w:hint="eastAsia" w:ascii="宋体" w:hAnsi="宋体" w:cs="宋体"/>
                <w:sz w:val="18"/>
                <w:szCs w:val="18"/>
              </w:rPr>
              <w:t>规模等级</w:t>
            </w:r>
          </w:p>
        </w:tc>
      </w:tr>
      <w:tr w14:paraId="6886B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4" w:hRule="atLeast"/>
          <w:jc w:val="center"/>
        </w:trPr>
        <w:tc>
          <w:tcPr>
            <w:tcW w:w="720" w:type="dxa"/>
            <w:vAlign w:val="center"/>
          </w:tcPr>
          <w:p w14:paraId="381CB1AD">
            <w:pPr>
              <w:spacing w:line="240" w:lineRule="auto"/>
              <w:jc w:val="right"/>
              <w:rPr>
                <w:rFonts w:ascii="宋体" w:hAnsi="宋体" w:cs="宋体"/>
                <w:sz w:val="18"/>
                <w:szCs w:val="18"/>
              </w:rPr>
            </w:pPr>
            <w:r>
              <w:rPr>
                <w:rFonts w:hint="eastAsia" w:ascii="宋体" w:hAnsi="宋体" w:cs="宋体"/>
                <w:sz w:val="18"/>
                <w:szCs w:val="18"/>
              </w:rPr>
              <w:t>m</w:t>
            </w:r>
          </w:p>
        </w:tc>
        <w:tc>
          <w:tcPr>
            <w:tcW w:w="708" w:type="dxa"/>
            <w:gridSpan w:val="2"/>
            <w:vAlign w:val="center"/>
          </w:tcPr>
          <w:p w14:paraId="3FD91C27">
            <w:pPr>
              <w:spacing w:line="240" w:lineRule="auto"/>
              <w:jc w:val="right"/>
              <w:rPr>
                <w:rFonts w:ascii="宋体" w:hAnsi="宋体" w:cs="宋体"/>
                <w:sz w:val="18"/>
                <w:szCs w:val="18"/>
              </w:rPr>
            </w:pPr>
            <w:r>
              <w:rPr>
                <w:rFonts w:hint="eastAsia" w:ascii="宋体" w:hAnsi="宋体" w:cs="宋体"/>
                <w:sz w:val="18"/>
                <w:szCs w:val="18"/>
              </w:rPr>
              <w:t>m</w:t>
            </w:r>
          </w:p>
        </w:tc>
        <w:tc>
          <w:tcPr>
            <w:tcW w:w="657" w:type="dxa"/>
            <w:vAlign w:val="center"/>
          </w:tcPr>
          <w:p w14:paraId="0719EA00">
            <w:pPr>
              <w:spacing w:line="240" w:lineRule="auto"/>
              <w:jc w:val="right"/>
              <w:rPr>
                <w:rFonts w:ascii="宋体" w:hAnsi="宋体" w:cs="宋体"/>
                <w:sz w:val="18"/>
                <w:szCs w:val="18"/>
              </w:rPr>
            </w:pPr>
            <w:r>
              <w:rPr>
                <w:rFonts w:hint="eastAsia" w:ascii="宋体" w:hAnsi="宋体" w:cs="宋体"/>
                <w:sz w:val="18"/>
                <w:szCs w:val="18"/>
              </w:rPr>
              <w:t>m</w:t>
            </w:r>
          </w:p>
        </w:tc>
        <w:tc>
          <w:tcPr>
            <w:tcW w:w="651" w:type="dxa"/>
            <w:vAlign w:val="center"/>
          </w:tcPr>
          <w:p w14:paraId="0832AFB6">
            <w:pPr>
              <w:spacing w:line="240" w:lineRule="auto"/>
              <w:jc w:val="right"/>
              <w:rPr>
                <w:rFonts w:ascii="宋体" w:hAnsi="宋体" w:cs="宋体"/>
                <w:sz w:val="18"/>
                <w:szCs w:val="18"/>
              </w:rPr>
            </w:pPr>
          </w:p>
        </w:tc>
        <w:tc>
          <w:tcPr>
            <w:tcW w:w="609" w:type="dxa"/>
            <w:gridSpan w:val="3"/>
            <w:vAlign w:val="center"/>
          </w:tcPr>
          <w:p w14:paraId="1B8B84F4">
            <w:pPr>
              <w:spacing w:line="240" w:lineRule="auto"/>
              <w:jc w:val="right"/>
              <w:rPr>
                <w:rFonts w:ascii="宋体" w:hAnsi="宋体" w:cs="宋体"/>
                <w:sz w:val="18"/>
                <w:szCs w:val="18"/>
              </w:rPr>
            </w:pPr>
          </w:p>
        </w:tc>
        <w:tc>
          <w:tcPr>
            <w:tcW w:w="698" w:type="dxa"/>
            <w:vAlign w:val="center"/>
          </w:tcPr>
          <w:p w14:paraId="52784215">
            <w:pPr>
              <w:spacing w:line="240" w:lineRule="auto"/>
              <w:jc w:val="right"/>
              <w:rPr>
                <w:rFonts w:ascii="宋体" w:hAnsi="宋体" w:cs="宋体"/>
                <w:sz w:val="18"/>
                <w:szCs w:val="18"/>
              </w:rPr>
            </w:pPr>
            <w:r>
              <w:rPr>
                <w:rFonts w:hint="eastAsia" w:ascii="宋体" w:hAnsi="宋体" w:cs="宋体"/>
                <w:sz w:val="18"/>
                <w:szCs w:val="18"/>
              </w:rPr>
              <w:t>m</w:t>
            </w:r>
          </w:p>
        </w:tc>
        <w:tc>
          <w:tcPr>
            <w:tcW w:w="817" w:type="dxa"/>
            <w:gridSpan w:val="3"/>
            <w:vAlign w:val="center"/>
          </w:tcPr>
          <w:p w14:paraId="6A8BF75E">
            <w:pPr>
              <w:spacing w:line="240" w:lineRule="auto"/>
              <w:jc w:val="right"/>
              <w:rPr>
                <w:rFonts w:ascii="宋体" w:hAnsi="宋体" w:cs="宋体"/>
                <w:sz w:val="18"/>
                <w:szCs w:val="18"/>
              </w:rPr>
            </w:pPr>
            <w:r>
              <w:rPr>
                <w:rFonts w:hint="eastAsia" w:ascii="宋体" w:hAnsi="宋体" w:cs="宋体"/>
                <w:sz w:val="18"/>
                <w:szCs w:val="18"/>
              </w:rPr>
              <w:t>m</w:t>
            </w:r>
          </w:p>
        </w:tc>
        <w:tc>
          <w:tcPr>
            <w:tcW w:w="780" w:type="dxa"/>
            <w:gridSpan w:val="2"/>
            <w:vAlign w:val="center"/>
          </w:tcPr>
          <w:p w14:paraId="169DC5E4">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c>
          <w:tcPr>
            <w:tcW w:w="800" w:type="dxa"/>
            <w:gridSpan w:val="2"/>
            <w:vAlign w:val="center"/>
          </w:tcPr>
          <w:p w14:paraId="3DBD6F28">
            <w:pPr>
              <w:spacing w:line="240" w:lineRule="auto"/>
              <w:jc w:val="right"/>
              <w:rPr>
                <w:rFonts w:ascii="宋体" w:hAnsi="宋体" w:cs="宋体"/>
                <w:sz w:val="18"/>
                <w:szCs w:val="18"/>
              </w:rPr>
            </w:pPr>
            <w:r>
              <w:rPr>
                <w:rFonts w:hint="eastAsia" w:ascii="宋体" w:hAnsi="宋体" w:cs="宋体"/>
                <w:sz w:val="18"/>
                <w:szCs w:val="18"/>
              </w:rPr>
              <w:t xml:space="preserve">  m</w:t>
            </w:r>
            <w:r>
              <w:rPr>
                <w:rFonts w:hint="eastAsia" w:ascii="宋体" w:hAnsi="宋体" w:cs="宋体"/>
                <w:sz w:val="18"/>
                <w:szCs w:val="18"/>
                <w:vertAlign w:val="superscript"/>
              </w:rPr>
              <w:t>3</w:t>
            </w:r>
          </w:p>
        </w:tc>
        <w:tc>
          <w:tcPr>
            <w:tcW w:w="3216" w:type="dxa"/>
            <w:gridSpan w:val="4"/>
            <w:vAlign w:val="center"/>
          </w:tcPr>
          <w:p w14:paraId="275E1545">
            <w:pPr>
              <w:spacing w:line="240" w:lineRule="auto"/>
              <w:ind w:firstLine="360" w:firstLineChars="200"/>
              <w:rPr>
                <w:rFonts w:ascii="宋体" w:hAnsi="宋体" w:cs="宋体"/>
                <w:sz w:val="18"/>
                <w:szCs w:val="18"/>
              </w:rPr>
            </w:pPr>
            <w:r>
              <w:rPr>
                <w:rFonts w:hint="eastAsia" w:ascii="宋体" w:hAnsi="宋体" w:cs="宋体"/>
                <w:sz w:val="18"/>
                <w:szCs w:val="18"/>
              </w:rPr>
              <w:t>□巨型   □特大型  □大型</w:t>
            </w:r>
          </w:p>
          <w:p w14:paraId="5F62B355">
            <w:pPr>
              <w:spacing w:line="240" w:lineRule="auto"/>
              <w:jc w:val="center"/>
              <w:rPr>
                <w:rFonts w:ascii="宋体" w:hAnsi="宋体" w:cs="宋体"/>
                <w:sz w:val="18"/>
                <w:szCs w:val="18"/>
              </w:rPr>
            </w:pPr>
            <w:r>
              <w:rPr>
                <w:rFonts w:hint="eastAsia" w:ascii="宋体" w:hAnsi="宋体" w:cs="宋体"/>
                <w:sz w:val="18"/>
                <w:szCs w:val="18"/>
              </w:rPr>
              <w:t>□中型   □小型</w:t>
            </w:r>
          </w:p>
        </w:tc>
      </w:tr>
      <w:tr w14:paraId="5A0A1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2" w:hRule="atLeast"/>
          <w:jc w:val="center"/>
        </w:trPr>
        <w:tc>
          <w:tcPr>
            <w:tcW w:w="1428" w:type="dxa"/>
            <w:gridSpan w:val="3"/>
            <w:vAlign w:val="center"/>
          </w:tcPr>
          <w:p w14:paraId="1342E0A4">
            <w:pPr>
              <w:spacing w:line="240" w:lineRule="auto"/>
              <w:jc w:val="center"/>
              <w:rPr>
                <w:rFonts w:ascii="宋体" w:hAnsi="宋体" w:cs="宋体"/>
                <w:sz w:val="18"/>
                <w:szCs w:val="18"/>
              </w:rPr>
            </w:pPr>
            <w:r>
              <w:rPr>
                <w:rFonts w:hint="eastAsia" w:ascii="宋体" w:hAnsi="宋体" w:cs="宋体"/>
                <w:sz w:val="18"/>
                <w:szCs w:val="18"/>
              </w:rPr>
              <w:t>死亡人数</w:t>
            </w:r>
          </w:p>
          <w:p w14:paraId="07B0C268">
            <w:pPr>
              <w:spacing w:line="240" w:lineRule="auto"/>
              <w:jc w:val="center"/>
              <w:rPr>
                <w:rFonts w:ascii="宋体" w:hAnsi="宋体" w:cs="宋体"/>
                <w:sz w:val="18"/>
                <w:szCs w:val="18"/>
              </w:rPr>
            </w:pPr>
            <w:r>
              <w:rPr>
                <w:rFonts w:hint="eastAsia" w:ascii="宋体" w:hAnsi="宋体" w:cs="宋体"/>
                <w:sz w:val="18"/>
                <w:szCs w:val="18"/>
              </w:rPr>
              <w:t>（人）</w:t>
            </w:r>
          </w:p>
        </w:tc>
        <w:tc>
          <w:tcPr>
            <w:tcW w:w="1308" w:type="dxa"/>
            <w:gridSpan w:val="2"/>
            <w:vAlign w:val="center"/>
          </w:tcPr>
          <w:p w14:paraId="231EC68E">
            <w:pPr>
              <w:spacing w:line="240" w:lineRule="auto"/>
              <w:jc w:val="right"/>
              <w:rPr>
                <w:rFonts w:ascii="宋体" w:hAnsi="宋体" w:cs="宋体"/>
                <w:sz w:val="18"/>
                <w:szCs w:val="18"/>
              </w:rPr>
            </w:pPr>
          </w:p>
        </w:tc>
        <w:tc>
          <w:tcPr>
            <w:tcW w:w="1307" w:type="dxa"/>
            <w:gridSpan w:val="4"/>
            <w:vAlign w:val="center"/>
          </w:tcPr>
          <w:p w14:paraId="6EB406F5">
            <w:pPr>
              <w:spacing w:line="240" w:lineRule="auto"/>
              <w:jc w:val="center"/>
              <w:rPr>
                <w:rFonts w:ascii="宋体" w:hAnsi="宋体" w:cs="宋体"/>
                <w:sz w:val="18"/>
                <w:szCs w:val="18"/>
              </w:rPr>
            </w:pPr>
            <w:r>
              <w:rPr>
                <w:rFonts w:hint="eastAsia" w:ascii="宋体" w:hAnsi="宋体" w:cs="宋体"/>
                <w:sz w:val="18"/>
                <w:szCs w:val="18"/>
              </w:rPr>
              <w:t>直接损失</w:t>
            </w:r>
          </w:p>
          <w:p w14:paraId="0B7BC8E3">
            <w:pPr>
              <w:spacing w:line="240" w:lineRule="auto"/>
              <w:jc w:val="center"/>
              <w:rPr>
                <w:rFonts w:ascii="宋体" w:hAnsi="宋体" w:cs="宋体"/>
                <w:sz w:val="18"/>
                <w:szCs w:val="18"/>
              </w:rPr>
            </w:pPr>
            <w:r>
              <w:rPr>
                <w:rFonts w:hint="eastAsia" w:ascii="宋体" w:hAnsi="宋体" w:cs="宋体"/>
                <w:sz w:val="18"/>
                <w:szCs w:val="18"/>
              </w:rPr>
              <w:t>（万元）</w:t>
            </w:r>
          </w:p>
        </w:tc>
        <w:tc>
          <w:tcPr>
            <w:tcW w:w="1597" w:type="dxa"/>
            <w:gridSpan w:val="5"/>
            <w:vAlign w:val="center"/>
          </w:tcPr>
          <w:p w14:paraId="26D664E3">
            <w:pPr>
              <w:spacing w:line="240" w:lineRule="auto"/>
              <w:jc w:val="right"/>
              <w:rPr>
                <w:rFonts w:ascii="宋体" w:hAnsi="宋体" w:cs="宋体"/>
                <w:sz w:val="18"/>
                <w:szCs w:val="18"/>
              </w:rPr>
            </w:pPr>
          </w:p>
        </w:tc>
        <w:tc>
          <w:tcPr>
            <w:tcW w:w="800" w:type="dxa"/>
            <w:gridSpan w:val="2"/>
            <w:vAlign w:val="center"/>
          </w:tcPr>
          <w:p w14:paraId="09E929B1">
            <w:pPr>
              <w:spacing w:line="240" w:lineRule="auto"/>
              <w:jc w:val="center"/>
              <w:rPr>
                <w:rFonts w:ascii="宋体" w:hAnsi="宋体" w:cs="宋体"/>
                <w:sz w:val="18"/>
                <w:szCs w:val="18"/>
              </w:rPr>
            </w:pPr>
            <w:r>
              <w:rPr>
                <w:rFonts w:hint="eastAsia" w:ascii="宋体" w:hAnsi="宋体" w:cs="宋体"/>
                <w:sz w:val="18"/>
                <w:szCs w:val="18"/>
              </w:rPr>
              <w:t>灾情等级</w:t>
            </w:r>
          </w:p>
        </w:tc>
        <w:tc>
          <w:tcPr>
            <w:tcW w:w="3216" w:type="dxa"/>
            <w:gridSpan w:val="4"/>
            <w:vAlign w:val="center"/>
          </w:tcPr>
          <w:p w14:paraId="50F11AE1">
            <w:pPr>
              <w:spacing w:line="240" w:lineRule="auto"/>
              <w:jc w:val="center"/>
              <w:rPr>
                <w:rFonts w:ascii="宋体" w:hAnsi="宋体" w:cs="宋体"/>
                <w:sz w:val="18"/>
                <w:szCs w:val="18"/>
              </w:rPr>
            </w:pPr>
            <w:r>
              <w:rPr>
                <w:rFonts w:hint="eastAsia" w:ascii="宋体" w:hAnsi="宋体" w:cs="宋体"/>
                <w:sz w:val="18"/>
                <w:szCs w:val="18"/>
              </w:rPr>
              <w:t>□特大型     □大型</w:t>
            </w:r>
          </w:p>
          <w:p w14:paraId="4CA110B0">
            <w:pPr>
              <w:spacing w:line="240" w:lineRule="auto"/>
              <w:jc w:val="center"/>
              <w:rPr>
                <w:rFonts w:ascii="宋体" w:hAnsi="宋体" w:cs="宋体"/>
                <w:sz w:val="18"/>
                <w:szCs w:val="18"/>
              </w:rPr>
            </w:pPr>
            <w:r>
              <w:rPr>
                <w:rFonts w:hint="eastAsia" w:ascii="宋体" w:hAnsi="宋体" w:cs="宋体"/>
                <w:sz w:val="18"/>
                <w:szCs w:val="18"/>
              </w:rPr>
              <w:t>□中型       □小型</w:t>
            </w:r>
          </w:p>
        </w:tc>
      </w:tr>
      <w:tr w14:paraId="66296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4" w:hRule="atLeast"/>
          <w:jc w:val="center"/>
        </w:trPr>
        <w:tc>
          <w:tcPr>
            <w:tcW w:w="1428" w:type="dxa"/>
            <w:gridSpan w:val="3"/>
            <w:vAlign w:val="center"/>
          </w:tcPr>
          <w:p w14:paraId="517302F1">
            <w:pPr>
              <w:spacing w:line="240" w:lineRule="auto"/>
              <w:jc w:val="center"/>
              <w:rPr>
                <w:rFonts w:ascii="宋体" w:hAnsi="宋体" w:cs="宋体"/>
                <w:sz w:val="18"/>
                <w:szCs w:val="18"/>
              </w:rPr>
            </w:pPr>
            <w:r>
              <w:rPr>
                <w:rFonts w:hint="eastAsia" w:ascii="宋体" w:hAnsi="宋体" w:cs="宋体"/>
                <w:sz w:val="18"/>
                <w:szCs w:val="18"/>
              </w:rPr>
              <w:t>威胁人数</w:t>
            </w:r>
          </w:p>
          <w:p w14:paraId="4444C0FA">
            <w:pPr>
              <w:spacing w:line="240" w:lineRule="auto"/>
              <w:jc w:val="center"/>
              <w:rPr>
                <w:rFonts w:ascii="宋体" w:hAnsi="宋体" w:cs="宋体"/>
                <w:sz w:val="18"/>
                <w:szCs w:val="18"/>
              </w:rPr>
            </w:pPr>
            <w:r>
              <w:rPr>
                <w:rFonts w:hint="eastAsia" w:ascii="宋体" w:hAnsi="宋体" w:cs="宋体"/>
                <w:sz w:val="18"/>
                <w:szCs w:val="18"/>
              </w:rPr>
              <w:t>（人）</w:t>
            </w:r>
          </w:p>
        </w:tc>
        <w:tc>
          <w:tcPr>
            <w:tcW w:w="1308" w:type="dxa"/>
            <w:gridSpan w:val="2"/>
            <w:vAlign w:val="center"/>
          </w:tcPr>
          <w:p w14:paraId="1CAC001A">
            <w:pPr>
              <w:spacing w:line="240" w:lineRule="auto"/>
              <w:jc w:val="right"/>
              <w:rPr>
                <w:rFonts w:ascii="宋体" w:hAnsi="宋体" w:cs="宋体"/>
                <w:sz w:val="18"/>
                <w:szCs w:val="18"/>
              </w:rPr>
            </w:pPr>
          </w:p>
        </w:tc>
        <w:tc>
          <w:tcPr>
            <w:tcW w:w="1307" w:type="dxa"/>
            <w:gridSpan w:val="4"/>
            <w:vAlign w:val="center"/>
          </w:tcPr>
          <w:p w14:paraId="0D8CB1A7">
            <w:pPr>
              <w:spacing w:line="240" w:lineRule="auto"/>
              <w:jc w:val="center"/>
              <w:rPr>
                <w:rFonts w:ascii="宋体" w:hAnsi="宋体" w:cs="宋体"/>
                <w:sz w:val="18"/>
                <w:szCs w:val="18"/>
              </w:rPr>
            </w:pPr>
            <w:r>
              <w:rPr>
                <w:rFonts w:hint="eastAsia" w:ascii="宋体" w:hAnsi="宋体" w:cs="宋体"/>
                <w:sz w:val="18"/>
                <w:szCs w:val="18"/>
              </w:rPr>
              <w:t>威胁财产</w:t>
            </w:r>
          </w:p>
          <w:p w14:paraId="6987FCBA">
            <w:pPr>
              <w:spacing w:line="240" w:lineRule="auto"/>
              <w:jc w:val="center"/>
              <w:rPr>
                <w:rFonts w:ascii="宋体" w:hAnsi="宋体" w:cs="宋体"/>
                <w:sz w:val="18"/>
                <w:szCs w:val="18"/>
              </w:rPr>
            </w:pPr>
            <w:r>
              <w:rPr>
                <w:rFonts w:hint="eastAsia" w:ascii="宋体" w:hAnsi="宋体" w:cs="宋体"/>
                <w:sz w:val="18"/>
                <w:szCs w:val="18"/>
              </w:rPr>
              <w:t>（万元）</w:t>
            </w:r>
          </w:p>
        </w:tc>
        <w:tc>
          <w:tcPr>
            <w:tcW w:w="1597" w:type="dxa"/>
            <w:gridSpan w:val="5"/>
            <w:vAlign w:val="center"/>
          </w:tcPr>
          <w:p w14:paraId="20F75A17">
            <w:pPr>
              <w:spacing w:line="240" w:lineRule="auto"/>
              <w:jc w:val="right"/>
              <w:rPr>
                <w:rFonts w:ascii="宋体" w:hAnsi="宋体" w:cs="宋体"/>
                <w:sz w:val="18"/>
                <w:szCs w:val="18"/>
              </w:rPr>
            </w:pPr>
          </w:p>
        </w:tc>
        <w:tc>
          <w:tcPr>
            <w:tcW w:w="800" w:type="dxa"/>
            <w:gridSpan w:val="2"/>
            <w:vAlign w:val="center"/>
          </w:tcPr>
          <w:p w14:paraId="4C47FB1F">
            <w:pPr>
              <w:spacing w:line="240" w:lineRule="auto"/>
              <w:jc w:val="center"/>
              <w:rPr>
                <w:rFonts w:ascii="宋体" w:hAnsi="宋体" w:cs="宋体"/>
                <w:sz w:val="18"/>
                <w:szCs w:val="18"/>
              </w:rPr>
            </w:pPr>
            <w:r>
              <w:rPr>
                <w:rFonts w:hint="eastAsia" w:ascii="宋体" w:hAnsi="宋体" w:cs="宋体"/>
                <w:sz w:val="18"/>
                <w:szCs w:val="18"/>
              </w:rPr>
              <w:t>险情等级</w:t>
            </w:r>
          </w:p>
        </w:tc>
        <w:tc>
          <w:tcPr>
            <w:tcW w:w="3216" w:type="dxa"/>
            <w:gridSpan w:val="4"/>
            <w:vAlign w:val="center"/>
          </w:tcPr>
          <w:p w14:paraId="0079BB24">
            <w:pPr>
              <w:spacing w:line="240" w:lineRule="auto"/>
              <w:jc w:val="center"/>
              <w:rPr>
                <w:rFonts w:ascii="宋体" w:hAnsi="宋体" w:cs="宋体"/>
                <w:sz w:val="18"/>
                <w:szCs w:val="18"/>
              </w:rPr>
            </w:pPr>
            <w:r>
              <w:rPr>
                <w:rFonts w:hint="eastAsia" w:ascii="宋体" w:hAnsi="宋体" w:cs="宋体"/>
                <w:sz w:val="18"/>
                <w:szCs w:val="18"/>
              </w:rPr>
              <w:t>□特大型     □大型</w:t>
            </w:r>
          </w:p>
          <w:p w14:paraId="590D169D">
            <w:pPr>
              <w:spacing w:line="240" w:lineRule="auto"/>
              <w:jc w:val="center"/>
              <w:rPr>
                <w:rFonts w:ascii="宋体" w:hAnsi="宋体" w:cs="宋体"/>
                <w:sz w:val="18"/>
                <w:szCs w:val="18"/>
              </w:rPr>
            </w:pPr>
            <w:r>
              <w:rPr>
                <w:rFonts w:hint="eastAsia" w:ascii="宋体" w:hAnsi="宋体" w:cs="宋体"/>
                <w:sz w:val="18"/>
                <w:szCs w:val="18"/>
              </w:rPr>
              <w:t>□中型       □小型</w:t>
            </w:r>
          </w:p>
        </w:tc>
      </w:tr>
      <w:tr w14:paraId="70519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428" w:type="dxa"/>
            <w:gridSpan w:val="3"/>
            <w:tcBorders>
              <w:bottom w:val="single" w:color="auto" w:sz="4" w:space="0"/>
            </w:tcBorders>
            <w:vAlign w:val="center"/>
          </w:tcPr>
          <w:p w14:paraId="5DDE80DA">
            <w:pPr>
              <w:spacing w:line="240" w:lineRule="auto"/>
              <w:jc w:val="center"/>
              <w:rPr>
                <w:rFonts w:ascii="宋体" w:hAnsi="宋体" w:cs="宋体"/>
                <w:sz w:val="18"/>
                <w:szCs w:val="18"/>
              </w:rPr>
            </w:pPr>
            <w:r>
              <w:rPr>
                <w:rFonts w:hint="eastAsia" w:ascii="宋体" w:hAnsi="宋体" w:cs="宋体"/>
                <w:sz w:val="18"/>
                <w:szCs w:val="18"/>
              </w:rPr>
              <w:t>承灾体调查</w:t>
            </w:r>
          </w:p>
        </w:tc>
        <w:tc>
          <w:tcPr>
            <w:tcW w:w="8228" w:type="dxa"/>
            <w:gridSpan w:val="17"/>
            <w:tcBorders>
              <w:bottom w:val="single" w:color="auto" w:sz="4" w:space="0"/>
            </w:tcBorders>
            <w:vAlign w:val="center"/>
          </w:tcPr>
          <w:p w14:paraId="3C021658">
            <w:pPr>
              <w:spacing w:line="240" w:lineRule="auto"/>
              <w:rPr>
                <w:rFonts w:ascii="宋体" w:hAnsi="宋体" w:cs="宋体"/>
                <w:sz w:val="18"/>
                <w:szCs w:val="18"/>
              </w:rPr>
            </w:pPr>
            <w:r>
              <w:rPr>
                <w:rFonts w:hint="eastAsia" w:ascii="宋体" w:hAnsi="宋体" w:cs="宋体"/>
                <w:sz w:val="18"/>
                <w:szCs w:val="18"/>
              </w:rPr>
              <w:t>人员：□居民：户籍人口</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人，常住人口：</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人；□其他常驻人口：</w:t>
            </w:r>
            <w:r>
              <w:rPr>
                <w:rFonts w:hint="eastAsia" w:ascii="宋体" w:hAnsi="宋体" w:cs="宋体"/>
                <w:sz w:val="18"/>
                <w:szCs w:val="18"/>
                <w:u w:val="single"/>
              </w:rPr>
              <w:t xml:space="preserve">       </w:t>
            </w:r>
            <w:r>
              <w:rPr>
                <w:rFonts w:hint="eastAsia" w:ascii="宋体" w:hAnsi="宋体" w:cs="宋体"/>
                <w:sz w:val="18"/>
                <w:szCs w:val="18"/>
              </w:rPr>
              <w:t>人</w:t>
            </w:r>
          </w:p>
          <w:p w14:paraId="371FFE11">
            <w:pPr>
              <w:spacing w:line="240" w:lineRule="auto"/>
              <w:rPr>
                <w:rFonts w:ascii="宋体" w:hAnsi="宋体" w:cs="宋体"/>
                <w:sz w:val="18"/>
                <w:szCs w:val="18"/>
              </w:rPr>
            </w:pPr>
            <w:r>
              <w:rPr>
                <w:rFonts w:hint="eastAsia" w:ascii="宋体" w:hAnsi="宋体" w:cs="宋体"/>
                <w:sz w:val="18"/>
                <w:szCs w:val="18"/>
              </w:rPr>
              <w:t>基础设施：□房屋</w:t>
            </w:r>
            <w:r>
              <w:rPr>
                <w:rFonts w:hint="eastAsia" w:ascii="宋体" w:hAnsi="宋体" w:cs="宋体"/>
                <w:sz w:val="18"/>
                <w:szCs w:val="18"/>
                <w:u w:val="single"/>
              </w:rPr>
              <w:t xml:space="preserve">    </w:t>
            </w:r>
            <w:r>
              <w:rPr>
                <w:rFonts w:hint="eastAsia" w:ascii="宋体" w:hAnsi="宋体" w:cs="宋体"/>
                <w:sz w:val="18"/>
                <w:szCs w:val="18"/>
              </w:rPr>
              <w:t>间,  其中□钢结构</w:t>
            </w:r>
            <w:r>
              <w:rPr>
                <w:rFonts w:hint="eastAsia" w:ascii="宋体" w:hAnsi="宋体" w:cs="宋体"/>
                <w:sz w:val="18"/>
                <w:szCs w:val="18"/>
                <w:u w:val="single"/>
              </w:rPr>
              <w:t xml:space="preserve">    </w:t>
            </w:r>
            <w:r>
              <w:rPr>
                <w:rFonts w:hint="eastAsia" w:ascii="宋体" w:hAnsi="宋体" w:cs="宋体"/>
                <w:sz w:val="18"/>
                <w:szCs w:val="18"/>
              </w:rPr>
              <w:t>间  □钢混</w:t>
            </w:r>
            <w:r>
              <w:rPr>
                <w:rFonts w:hint="eastAsia" w:ascii="宋体" w:hAnsi="宋体" w:cs="宋体"/>
                <w:sz w:val="18"/>
                <w:szCs w:val="18"/>
                <w:u w:val="single"/>
              </w:rPr>
              <w:t xml:space="preserve">    </w:t>
            </w:r>
            <w:r>
              <w:rPr>
                <w:rFonts w:hint="eastAsia" w:ascii="宋体" w:hAnsi="宋体" w:cs="宋体"/>
                <w:sz w:val="18"/>
                <w:szCs w:val="18"/>
              </w:rPr>
              <w:t>间  □砖混</w:t>
            </w:r>
            <w:r>
              <w:rPr>
                <w:rFonts w:hint="eastAsia" w:ascii="宋体" w:hAnsi="宋体" w:cs="宋体"/>
                <w:sz w:val="18"/>
                <w:szCs w:val="18"/>
                <w:u w:val="single"/>
              </w:rPr>
              <w:t xml:space="preserve">    </w:t>
            </w:r>
            <w:r>
              <w:rPr>
                <w:rFonts w:hint="eastAsia" w:ascii="宋体" w:hAnsi="宋体" w:cs="宋体"/>
                <w:sz w:val="18"/>
                <w:szCs w:val="18"/>
              </w:rPr>
              <w:t>间  □砖木</w:t>
            </w:r>
            <w:r>
              <w:rPr>
                <w:rFonts w:hint="eastAsia" w:ascii="宋体" w:hAnsi="宋体" w:cs="宋体"/>
                <w:sz w:val="18"/>
                <w:szCs w:val="18"/>
                <w:u w:val="single"/>
              </w:rPr>
              <w:t xml:space="preserve">    </w:t>
            </w:r>
            <w:r>
              <w:rPr>
                <w:rFonts w:hint="eastAsia" w:ascii="宋体" w:hAnsi="宋体" w:cs="宋体"/>
                <w:sz w:val="18"/>
                <w:szCs w:val="18"/>
              </w:rPr>
              <w:t>间</w:t>
            </w:r>
          </w:p>
          <w:p w14:paraId="6162B2AF">
            <w:pPr>
              <w:spacing w:line="240" w:lineRule="auto"/>
              <w:rPr>
                <w:rFonts w:ascii="宋体" w:hAnsi="宋体" w:cs="宋体"/>
                <w:sz w:val="18"/>
                <w:szCs w:val="18"/>
              </w:rPr>
            </w:pPr>
            <w:r>
              <w:rPr>
                <w:rFonts w:hint="eastAsia" w:ascii="宋体" w:hAnsi="宋体" w:cs="宋体"/>
                <w:sz w:val="18"/>
                <w:szCs w:val="18"/>
              </w:rPr>
              <w:t>□土坯</w:t>
            </w:r>
            <w:r>
              <w:rPr>
                <w:rFonts w:hint="eastAsia" w:ascii="宋体" w:hAnsi="宋体" w:cs="宋体"/>
                <w:sz w:val="18"/>
                <w:szCs w:val="18"/>
                <w:u w:val="single"/>
              </w:rPr>
              <w:t xml:space="preserve">    </w:t>
            </w:r>
            <w:r>
              <w:rPr>
                <w:rFonts w:hint="eastAsia" w:ascii="宋体" w:hAnsi="宋体" w:cs="宋体"/>
                <w:sz w:val="18"/>
                <w:szCs w:val="18"/>
              </w:rPr>
              <w:t>间  □其他：</w:t>
            </w:r>
            <w:r>
              <w:rPr>
                <w:rFonts w:hint="eastAsia" w:ascii="宋体" w:hAnsi="宋体" w:cs="宋体"/>
                <w:sz w:val="18"/>
                <w:szCs w:val="18"/>
                <w:u w:val="single"/>
              </w:rPr>
              <w:t xml:space="preserve">       </w:t>
            </w:r>
          </w:p>
          <w:p w14:paraId="226DBB9E">
            <w:pPr>
              <w:spacing w:line="240" w:lineRule="auto"/>
              <w:rPr>
                <w:rFonts w:ascii="宋体" w:hAnsi="宋体" w:cs="宋体"/>
                <w:sz w:val="18"/>
                <w:szCs w:val="18"/>
              </w:rPr>
            </w:pPr>
            <w:r>
              <w:rPr>
                <w:rFonts w:hint="eastAsia" w:ascii="宋体" w:hAnsi="宋体" w:cs="宋体"/>
                <w:sz w:val="18"/>
                <w:szCs w:val="18"/>
              </w:rPr>
              <w:t>□学校</w:t>
            </w:r>
            <w:r>
              <w:rPr>
                <w:rFonts w:hint="eastAsia" w:ascii="宋体" w:hAnsi="宋体" w:cs="宋体"/>
                <w:sz w:val="18"/>
                <w:szCs w:val="18"/>
                <w:u w:val="single"/>
              </w:rPr>
              <w:t xml:space="preserve">    </w:t>
            </w:r>
            <w:r>
              <w:rPr>
                <w:rFonts w:hint="eastAsia" w:ascii="宋体" w:hAnsi="宋体" w:cs="宋体"/>
                <w:sz w:val="18"/>
                <w:szCs w:val="18"/>
              </w:rPr>
              <w:t>个  □医院</w:t>
            </w:r>
            <w:r>
              <w:rPr>
                <w:rFonts w:hint="eastAsia" w:ascii="宋体" w:hAnsi="宋体" w:cs="宋体"/>
                <w:sz w:val="18"/>
                <w:szCs w:val="18"/>
                <w:u w:val="single"/>
              </w:rPr>
              <w:t xml:space="preserve">    </w:t>
            </w:r>
            <w:r>
              <w:rPr>
                <w:rFonts w:hint="eastAsia" w:ascii="宋体" w:hAnsi="宋体" w:cs="宋体"/>
                <w:sz w:val="18"/>
                <w:szCs w:val="18"/>
              </w:rPr>
              <w:t>个  □矿山</w:t>
            </w:r>
            <w:r>
              <w:rPr>
                <w:rFonts w:hint="eastAsia" w:ascii="宋体" w:hAnsi="宋体" w:cs="宋体"/>
                <w:sz w:val="18"/>
                <w:szCs w:val="18"/>
                <w:u w:val="single"/>
              </w:rPr>
              <w:t xml:space="preserve">   </w:t>
            </w:r>
            <w:r>
              <w:rPr>
                <w:rFonts w:hint="eastAsia" w:ascii="宋体" w:hAnsi="宋体" w:cs="宋体"/>
                <w:sz w:val="18"/>
                <w:szCs w:val="18"/>
              </w:rPr>
              <w:t>座  □工厂</w:t>
            </w:r>
            <w:r>
              <w:rPr>
                <w:rFonts w:hint="eastAsia" w:ascii="宋体" w:hAnsi="宋体" w:cs="宋体"/>
                <w:sz w:val="18"/>
                <w:szCs w:val="18"/>
                <w:u w:val="single"/>
              </w:rPr>
              <w:t xml:space="preserve">   </w:t>
            </w:r>
            <w:r>
              <w:rPr>
                <w:rFonts w:hint="eastAsia" w:ascii="宋体" w:hAnsi="宋体" w:cs="宋体"/>
                <w:sz w:val="18"/>
                <w:szCs w:val="18"/>
              </w:rPr>
              <w:t>座  □公路</w:t>
            </w:r>
            <w:r>
              <w:rPr>
                <w:rFonts w:hint="eastAsia" w:ascii="宋体" w:hAnsi="宋体" w:cs="宋体"/>
                <w:sz w:val="18"/>
                <w:szCs w:val="18"/>
                <w:u w:val="single"/>
              </w:rPr>
              <w:t xml:space="preserve">   </w:t>
            </w:r>
            <w:r>
              <w:rPr>
                <w:rFonts w:hint="eastAsia" w:ascii="宋体" w:hAnsi="宋体" w:cs="宋体"/>
                <w:sz w:val="18"/>
                <w:szCs w:val="18"/>
              </w:rPr>
              <w:t>m  □铁路</w:t>
            </w:r>
            <w:r>
              <w:rPr>
                <w:rFonts w:hint="eastAsia" w:ascii="宋体" w:hAnsi="宋体" w:cs="宋体"/>
                <w:sz w:val="18"/>
                <w:szCs w:val="18"/>
                <w:u w:val="single"/>
              </w:rPr>
              <w:t xml:space="preserve">   </w:t>
            </w:r>
            <w:r>
              <w:rPr>
                <w:rFonts w:hint="eastAsia" w:ascii="宋体" w:hAnsi="宋体" w:cs="宋体"/>
                <w:sz w:val="18"/>
                <w:szCs w:val="18"/>
              </w:rPr>
              <w:t xml:space="preserve">m  </w:t>
            </w:r>
          </w:p>
          <w:p w14:paraId="66C36048">
            <w:pPr>
              <w:spacing w:line="240" w:lineRule="auto"/>
              <w:rPr>
                <w:rFonts w:ascii="宋体" w:hAnsi="宋体" w:cs="宋体"/>
                <w:sz w:val="18"/>
                <w:szCs w:val="18"/>
                <w:u w:val="single"/>
              </w:rPr>
            </w:pPr>
            <w:r>
              <w:rPr>
                <w:rFonts w:hint="eastAsia" w:ascii="宋体" w:hAnsi="宋体" w:cs="宋体"/>
                <w:sz w:val="18"/>
                <w:szCs w:val="18"/>
              </w:rPr>
              <w:t>□水库</w:t>
            </w:r>
            <w:r>
              <w:rPr>
                <w:rFonts w:hint="eastAsia" w:ascii="宋体" w:hAnsi="宋体" w:cs="宋体"/>
                <w:sz w:val="18"/>
                <w:szCs w:val="18"/>
                <w:u w:val="single"/>
              </w:rPr>
              <w:t xml:space="preserve">   </w:t>
            </w:r>
            <w:r>
              <w:rPr>
                <w:rFonts w:hint="eastAsia" w:ascii="宋体" w:hAnsi="宋体" w:cs="宋体"/>
                <w:sz w:val="18"/>
                <w:szCs w:val="18"/>
              </w:rPr>
              <w:t>座  □电站</w:t>
            </w:r>
            <w:r>
              <w:rPr>
                <w:rFonts w:hint="eastAsia" w:ascii="宋体" w:hAnsi="宋体" w:cs="宋体"/>
                <w:sz w:val="18"/>
                <w:szCs w:val="18"/>
                <w:u w:val="single"/>
              </w:rPr>
              <w:t xml:space="preserve">   </w:t>
            </w:r>
            <w:r>
              <w:rPr>
                <w:rFonts w:hint="eastAsia" w:ascii="宋体" w:hAnsi="宋体" w:cs="宋体"/>
                <w:sz w:val="18"/>
                <w:szCs w:val="18"/>
              </w:rPr>
              <w:t>座  □输电线路</w:t>
            </w:r>
            <w:r>
              <w:rPr>
                <w:rFonts w:hint="eastAsia" w:ascii="宋体" w:hAnsi="宋体" w:cs="宋体"/>
                <w:sz w:val="18"/>
                <w:szCs w:val="18"/>
                <w:u w:val="single"/>
              </w:rPr>
              <w:t xml:space="preserve">   </w:t>
            </w:r>
            <w:r>
              <w:rPr>
                <w:rFonts w:hint="eastAsia" w:ascii="宋体" w:hAnsi="宋体" w:cs="宋体"/>
                <w:sz w:val="18"/>
                <w:szCs w:val="18"/>
              </w:rPr>
              <w:t>m  □通讯设施</w:t>
            </w:r>
            <w:r>
              <w:rPr>
                <w:rFonts w:hint="eastAsia" w:ascii="宋体" w:hAnsi="宋体" w:cs="宋体"/>
                <w:sz w:val="18"/>
                <w:szCs w:val="18"/>
                <w:u w:val="single"/>
              </w:rPr>
              <w:t xml:space="preserve">   </w:t>
            </w:r>
            <w:r>
              <w:rPr>
                <w:rFonts w:hint="eastAsia" w:ascii="宋体" w:hAnsi="宋体" w:cs="宋体"/>
                <w:sz w:val="18"/>
                <w:szCs w:val="18"/>
              </w:rPr>
              <w:t>座  □其他：</w:t>
            </w:r>
            <w:r>
              <w:rPr>
                <w:rFonts w:hint="eastAsia" w:ascii="宋体" w:hAnsi="宋体" w:cs="宋体"/>
                <w:sz w:val="18"/>
                <w:szCs w:val="18"/>
                <w:u w:val="single"/>
              </w:rPr>
              <w:t xml:space="preserve">      </w:t>
            </w:r>
          </w:p>
        </w:tc>
      </w:tr>
      <w:bookmarkEnd w:id="296"/>
    </w:tbl>
    <w:p w14:paraId="28DFF0F9">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表C</w:t>
      </w:r>
      <w:r>
        <w:rPr>
          <w:rFonts w:ascii="黑体" w:hAnsi="黑体" w:eastAsia="黑体"/>
        </w:rPr>
        <w:t>.4</w:t>
      </w:r>
      <w:r>
        <w:rPr>
          <w:rFonts w:hint="eastAsia" w:ascii="黑体" w:hAnsi="黑体" w:eastAsia="黑体"/>
        </w:rPr>
        <w:t>滑坡及隐患调查记录表（续）</w:t>
      </w:r>
    </w:p>
    <w:tbl>
      <w:tblPr>
        <w:tblStyle w:val="28"/>
        <w:tblW w:w="9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894"/>
        <w:gridCol w:w="991"/>
        <w:gridCol w:w="1449"/>
        <w:gridCol w:w="1085"/>
        <w:gridCol w:w="1107"/>
        <w:gridCol w:w="1085"/>
        <w:gridCol w:w="1139"/>
        <w:gridCol w:w="1372"/>
      </w:tblGrid>
      <w:tr w14:paraId="0AFA4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9" w:hRule="atLeast"/>
          <w:jc w:val="center"/>
        </w:trPr>
        <w:tc>
          <w:tcPr>
            <w:tcW w:w="1428" w:type="dxa"/>
            <w:gridSpan w:val="2"/>
            <w:vMerge w:val="restart"/>
            <w:vAlign w:val="center"/>
          </w:tcPr>
          <w:p w14:paraId="57C83605">
            <w:pPr>
              <w:spacing w:line="240" w:lineRule="auto"/>
              <w:jc w:val="center"/>
              <w:rPr>
                <w:rFonts w:ascii="Times New Roman" w:hAnsi="Times New Roman"/>
                <w:sz w:val="18"/>
                <w:szCs w:val="18"/>
              </w:rPr>
            </w:pPr>
            <w:r>
              <w:rPr>
                <w:rFonts w:ascii="Times New Roman" w:hAnsi="Times New Roman"/>
                <w:sz w:val="18"/>
                <w:szCs w:val="18"/>
              </w:rPr>
              <w:t>防治措施</w:t>
            </w:r>
          </w:p>
        </w:tc>
        <w:tc>
          <w:tcPr>
            <w:tcW w:w="991" w:type="dxa"/>
            <w:vMerge w:val="restart"/>
            <w:vAlign w:val="center"/>
          </w:tcPr>
          <w:p w14:paraId="36CD41FF">
            <w:pPr>
              <w:spacing w:line="240" w:lineRule="auto"/>
              <w:jc w:val="center"/>
              <w:rPr>
                <w:rFonts w:ascii="Times New Roman" w:hAnsi="Times New Roman"/>
                <w:sz w:val="18"/>
                <w:szCs w:val="18"/>
              </w:rPr>
            </w:pPr>
            <w:r>
              <w:rPr>
                <w:rFonts w:ascii="Times New Roman" w:hAnsi="Times New Roman"/>
                <w:sz w:val="18"/>
                <w:szCs w:val="18"/>
              </w:rPr>
              <w:t>□有  □无</w:t>
            </w:r>
          </w:p>
        </w:tc>
        <w:tc>
          <w:tcPr>
            <w:tcW w:w="1449" w:type="dxa"/>
            <w:tcBorders>
              <w:bottom w:val="single" w:color="auto" w:sz="4" w:space="0"/>
            </w:tcBorders>
            <w:vAlign w:val="center"/>
          </w:tcPr>
          <w:p w14:paraId="7B69A7DA">
            <w:pPr>
              <w:spacing w:line="240" w:lineRule="auto"/>
              <w:jc w:val="center"/>
              <w:rPr>
                <w:rFonts w:ascii="Times New Roman" w:hAnsi="Times New Roman"/>
                <w:sz w:val="18"/>
                <w:szCs w:val="18"/>
              </w:rPr>
            </w:pPr>
            <w:r>
              <w:rPr>
                <w:rFonts w:ascii="Times New Roman" w:hAnsi="Times New Roman"/>
                <w:sz w:val="18"/>
                <w:szCs w:val="18"/>
              </w:rPr>
              <w:t>防治类型</w:t>
            </w:r>
          </w:p>
        </w:tc>
        <w:tc>
          <w:tcPr>
            <w:tcW w:w="5788" w:type="dxa"/>
            <w:gridSpan w:val="5"/>
            <w:tcBorders>
              <w:bottom w:val="single" w:color="auto" w:sz="4" w:space="0"/>
            </w:tcBorders>
            <w:vAlign w:val="center"/>
          </w:tcPr>
          <w:p w14:paraId="1F595CB2">
            <w:pPr>
              <w:spacing w:line="240" w:lineRule="auto"/>
              <w:rPr>
                <w:rFonts w:ascii="Times New Roman" w:hAnsi="Times New Roman"/>
                <w:sz w:val="18"/>
                <w:szCs w:val="18"/>
              </w:rPr>
            </w:pPr>
            <w:r>
              <w:rPr>
                <w:rFonts w:ascii="Times New Roman" w:hAnsi="Times New Roman"/>
                <w:sz w:val="18"/>
                <w:szCs w:val="18"/>
              </w:rPr>
              <w:t>□截排水  □锚固  □支挡  □坡面防护  □滑体、滑带改造  □群测群防</w:t>
            </w:r>
          </w:p>
          <w:p w14:paraId="4245CDF0">
            <w:pPr>
              <w:spacing w:line="240" w:lineRule="auto"/>
              <w:rPr>
                <w:rFonts w:ascii="Times New Roman" w:hAnsi="Times New Roman"/>
                <w:sz w:val="18"/>
                <w:szCs w:val="18"/>
              </w:rPr>
            </w:pPr>
            <w:r>
              <w:rPr>
                <w:rFonts w:ascii="Times New Roman" w:hAnsi="Times New Roman"/>
                <w:sz w:val="18"/>
                <w:szCs w:val="18"/>
              </w:rPr>
              <w:t xml:space="preserve">□专业监测  □避险搬迁  □其他：      </w:t>
            </w:r>
          </w:p>
        </w:tc>
      </w:tr>
      <w:tr w14:paraId="33213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3" w:hRule="atLeast"/>
          <w:jc w:val="center"/>
        </w:trPr>
        <w:tc>
          <w:tcPr>
            <w:tcW w:w="1428" w:type="dxa"/>
            <w:gridSpan w:val="2"/>
            <w:vMerge w:val="continue"/>
            <w:vAlign w:val="center"/>
          </w:tcPr>
          <w:p w14:paraId="3FCE5684">
            <w:pPr>
              <w:spacing w:line="240" w:lineRule="auto"/>
              <w:jc w:val="center"/>
              <w:rPr>
                <w:rFonts w:ascii="Times New Roman" w:hAnsi="Times New Roman"/>
                <w:sz w:val="18"/>
                <w:szCs w:val="18"/>
              </w:rPr>
            </w:pPr>
          </w:p>
        </w:tc>
        <w:tc>
          <w:tcPr>
            <w:tcW w:w="991" w:type="dxa"/>
            <w:vMerge w:val="continue"/>
            <w:vAlign w:val="center"/>
          </w:tcPr>
          <w:p w14:paraId="69D9DD2B">
            <w:pPr>
              <w:spacing w:line="240" w:lineRule="auto"/>
              <w:jc w:val="center"/>
              <w:rPr>
                <w:rFonts w:ascii="Times New Roman" w:hAnsi="Times New Roman"/>
                <w:sz w:val="18"/>
                <w:szCs w:val="18"/>
              </w:rPr>
            </w:pPr>
          </w:p>
        </w:tc>
        <w:tc>
          <w:tcPr>
            <w:tcW w:w="1449" w:type="dxa"/>
            <w:tcBorders>
              <w:bottom w:val="single" w:color="auto" w:sz="4" w:space="0"/>
            </w:tcBorders>
            <w:vAlign w:val="center"/>
          </w:tcPr>
          <w:p w14:paraId="6606A4F1">
            <w:pPr>
              <w:spacing w:line="240" w:lineRule="auto"/>
              <w:jc w:val="center"/>
              <w:rPr>
                <w:rFonts w:ascii="Times New Roman" w:hAnsi="Times New Roman"/>
                <w:sz w:val="18"/>
                <w:szCs w:val="18"/>
              </w:rPr>
            </w:pPr>
            <w:r>
              <w:rPr>
                <w:rFonts w:ascii="Times New Roman" w:hAnsi="Times New Roman"/>
                <w:sz w:val="18"/>
                <w:szCs w:val="18"/>
              </w:rPr>
              <w:t>防治措施建议</w:t>
            </w:r>
          </w:p>
        </w:tc>
        <w:tc>
          <w:tcPr>
            <w:tcW w:w="5788" w:type="dxa"/>
            <w:gridSpan w:val="5"/>
            <w:tcBorders>
              <w:bottom w:val="single" w:color="auto" w:sz="4" w:space="0"/>
            </w:tcBorders>
            <w:vAlign w:val="center"/>
          </w:tcPr>
          <w:p w14:paraId="27F2A817">
            <w:pPr>
              <w:spacing w:line="240" w:lineRule="auto"/>
              <w:rPr>
                <w:rFonts w:ascii="Times New Roman" w:hAnsi="Times New Roman"/>
                <w:sz w:val="18"/>
                <w:szCs w:val="18"/>
              </w:rPr>
            </w:pPr>
            <w:r>
              <w:rPr>
                <w:rFonts w:ascii="Times New Roman" w:hAnsi="Times New Roman"/>
                <w:sz w:val="18"/>
                <w:szCs w:val="18"/>
              </w:rPr>
              <w:t xml:space="preserve">□立警示牌  □定期巡视  □避让搬迁  □群测群防  □工程治理  </w:t>
            </w:r>
          </w:p>
          <w:p w14:paraId="23273B78">
            <w:pPr>
              <w:spacing w:line="240" w:lineRule="auto"/>
              <w:rPr>
                <w:rFonts w:ascii="Times New Roman" w:hAnsi="Times New Roman"/>
                <w:sz w:val="18"/>
                <w:szCs w:val="18"/>
              </w:rPr>
            </w:pPr>
            <w:r>
              <w:rPr>
                <w:rFonts w:ascii="Times New Roman" w:hAnsi="Times New Roman"/>
                <w:sz w:val="18"/>
                <w:szCs w:val="18"/>
              </w:rPr>
              <w:t xml:space="preserve">□排危除险  □专业监测  □其他：      </w:t>
            </w:r>
          </w:p>
        </w:tc>
      </w:tr>
      <w:tr w14:paraId="2CBC6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3" w:hRule="atLeast"/>
          <w:jc w:val="center"/>
        </w:trPr>
        <w:tc>
          <w:tcPr>
            <w:tcW w:w="1428" w:type="dxa"/>
            <w:gridSpan w:val="2"/>
            <w:vAlign w:val="center"/>
          </w:tcPr>
          <w:p w14:paraId="1D681237">
            <w:pPr>
              <w:spacing w:line="240" w:lineRule="auto"/>
              <w:jc w:val="center"/>
              <w:rPr>
                <w:rFonts w:ascii="Times New Roman" w:hAnsi="Times New Roman"/>
                <w:sz w:val="18"/>
                <w:szCs w:val="18"/>
              </w:rPr>
            </w:pPr>
            <w:r>
              <w:rPr>
                <w:rFonts w:ascii="Times New Roman" w:hAnsi="Times New Roman"/>
                <w:sz w:val="18"/>
                <w:szCs w:val="18"/>
              </w:rPr>
              <w:t>遥感解译点</w:t>
            </w:r>
          </w:p>
        </w:tc>
        <w:tc>
          <w:tcPr>
            <w:tcW w:w="991" w:type="dxa"/>
            <w:vAlign w:val="center"/>
          </w:tcPr>
          <w:p w14:paraId="3C8F8DAA">
            <w:pPr>
              <w:spacing w:line="240" w:lineRule="auto"/>
              <w:jc w:val="center"/>
              <w:rPr>
                <w:rFonts w:ascii="Times New Roman" w:hAnsi="Times New Roman"/>
                <w:sz w:val="18"/>
                <w:szCs w:val="18"/>
              </w:rPr>
            </w:pPr>
            <w:r>
              <w:rPr>
                <w:rFonts w:ascii="Times New Roman" w:hAnsi="Times New Roman"/>
                <w:sz w:val="18"/>
                <w:szCs w:val="18"/>
              </w:rPr>
              <w:t>□是  □否</w:t>
            </w:r>
          </w:p>
        </w:tc>
        <w:tc>
          <w:tcPr>
            <w:tcW w:w="1449" w:type="dxa"/>
            <w:tcBorders>
              <w:bottom w:val="single" w:color="auto" w:sz="4" w:space="0"/>
            </w:tcBorders>
            <w:vAlign w:val="center"/>
          </w:tcPr>
          <w:p w14:paraId="6A3A89BF">
            <w:pPr>
              <w:spacing w:line="240" w:lineRule="auto"/>
              <w:jc w:val="center"/>
              <w:rPr>
                <w:rFonts w:ascii="Times New Roman" w:hAnsi="Times New Roman"/>
                <w:sz w:val="18"/>
                <w:szCs w:val="18"/>
              </w:rPr>
            </w:pPr>
            <w:r>
              <w:rPr>
                <w:rFonts w:ascii="Times New Roman" w:hAnsi="Times New Roman"/>
                <w:sz w:val="18"/>
                <w:szCs w:val="18"/>
              </w:rPr>
              <w:t>勘查点</w:t>
            </w:r>
          </w:p>
        </w:tc>
        <w:tc>
          <w:tcPr>
            <w:tcW w:w="1085" w:type="dxa"/>
            <w:tcBorders>
              <w:bottom w:val="single" w:color="auto" w:sz="4" w:space="0"/>
            </w:tcBorders>
            <w:vAlign w:val="center"/>
          </w:tcPr>
          <w:p w14:paraId="62C3602B">
            <w:pPr>
              <w:rPr>
                <w:rFonts w:ascii="Times New Roman" w:hAnsi="Times New Roman"/>
                <w:sz w:val="18"/>
                <w:szCs w:val="18"/>
              </w:rPr>
            </w:pPr>
            <w:r>
              <w:rPr>
                <w:rFonts w:ascii="Times New Roman" w:hAnsi="Times New Roman"/>
                <w:sz w:val="18"/>
                <w:szCs w:val="18"/>
              </w:rPr>
              <w:t>□是  □否</w:t>
            </w:r>
          </w:p>
        </w:tc>
        <w:tc>
          <w:tcPr>
            <w:tcW w:w="1107" w:type="dxa"/>
            <w:tcBorders>
              <w:bottom w:val="single" w:color="auto" w:sz="4" w:space="0"/>
            </w:tcBorders>
            <w:vAlign w:val="center"/>
          </w:tcPr>
          <w:p w14:paraId="7C4D2E27">
            <w:pPr>
              <w:rPr>
                <w:rFonts w:ascii="Times New Roman" w:hAnsi="Times New Roman"/>
                <w:sz w:val="18"/>
                <w:szCs w:val="18"/>
              </w:rPr>
            </w:pPr>
            <w:r>
              <w:rPr>
                <w:rFonts w:ascii="Times New Roman" w:hAnsi="Times New Roman"/>
                <w:sz w:val="18"/>
                <w:szCs w:val="18"/>
              </w:rPr>
              <w:t>测绘点</w:t>
            </w:r>
          </w:p>
        </w:tc>
        <w:tc>
          <w:tcPr>
            <w:tcW w:w="1085" w:type="dxa"/>
            <w:tcBorders>
              <w:bottom w:val="single" w:color="auto" w:sz="4" w:space="0"/>
            </w:tcBorders>
            <w:vAlign w:val="center"/>
          </w:tcPr>
          <w:p w14:paraId="37F09AE2">
            <w:pPr>
              <w:rPr>
                <w:rFonts w:ascii="Times New Roman" w:hAnsi="Times New Roman"/>
                <w:sz w:val="18"/>
                <w:szCs w:val="18"/>
              </w:rPr>
            </w:pPr>
            <w:r>
              <w:rPr>
                <w:rFonts w:ascii="Times New Roman" w:hAnsi="Times New Roman"/>
                <w:sz w:val="18"/>
                <w:szCs w:val="18"/>
              </w:rPr>
              <w:t>□是  □否</w:t>
            </w:r>
          </w:p>
        </w:tc>
        <w:tc>
          <w:tcPr>
            <w:tcW w:w="1139" w:type="dxa"/>
            <w:tcBorders>
              <w:bottom w:val="single" w:color="auto" w:sz="4" w:space="0"/>
            </w:tcBorders>
            <w:vAlign w:val="center"/>
          </w:tcPr>
          <w:p w14:paraId="2472AEBD">
            <w:pPr>
              <w:spacing w:line="240" w:lineRule="auto"/>
              <w:jc w:val="center"/>
              <w:rPr>
                <w:rFonts w:ascii="Times New Roman" w:hAnsi="Times New Roman"/>
                <w:sz w:val="18"/>
                <w:szCs w:val="18"/>
              </w:rPr>
            </w:pPr>
            <w:r>
              <w:rPr>
                <w:rFonts w:ascii="Times New Roman" w:hAnsi="Times New Roman"/>
                <w:sz w:val="18"/>
                <w:szCs w:val="18"/>
              </w:rPr>
              <w:t>防灾预案/群测群防点</w:t>
            </w:r>
          </w:p>
        </w:tc>
        <w:tc>
          <w:tcPr>
            <w:tcW w:w="1372" w:type="dxa"/>
            <w:tcBorders>
              <w:bottom w:val="single" w:color="auto" w:sz="4" w:space="0"/>
            </w:tcBorders>
            <w:vAlign w:val="center"/>
          </w:tcPr>
          <w:p w14:paraId="5EA64BF2">
            <w:pPr>
              <w:spacing w:line="240" w:lineRule="auto"/>
              <w:jc w:val="center"/>
              <w:rPr>
                <w:rFonts w:ascii="Times New Roman" w:hAnsi="Times New Roman"/>
                <w:sz w:val="18"/>
                <w:szCs w:val="18"/>
              </w:rPr>
            </w:pPr>
            <w:r>
              <w:rPr>
                <w:rFonts w:ascii="Times New Roman" w:hAnsi="Times New Roman"/>
                <w:sz w:val="18"/>
                <w:szCs w:val="18"/>
              </w:rPr>
              <w:t>□是  □否</w:t>
            </w:r>
          </w:p>
        </w:tc>
      </w:tr>
      <w:tr w14:paraId="1CAEF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atLeast"/>
          <w:jc w:val="center"/>
        </w:trPr>
        <w:tc>
          <w:tcPr>
            <w:tcW w:w="2419" w:type="dxa"/>
            <w:gridSpan w:val="3"/>
            <w:vAlign w:val="center"/>
          </w:tcPr>
          <w:p w14:paraId="51E5E249">
            <w:pPr>
              <w:spacing w:line="240" w:lineRule="auto"/>
              <w:jc w:val="center"/>
              <w:rPr>
                <w:rFonts w:ascii="Times New Roman" w:hAnsi="Times New Roman"/>
                <w:sz w:val="18"/>
                <w:szCs w:val="18"/>
              </w:rPr>
            </w:pPr>
            <w:r>
              <w:rPr>
                <w:rFonts w:ascii="Times New Roman" w:hAnsi="Times New Roman"/>
                <w:sz w:val="18"/>
                <w:szCs w:val="18"/>
              </w:rPr>
              <w:t>风险定性</w:t>
            </w:r>
            <w:r>
              <w:rPr>
                <w:rFonts w:hint="eastAsia" w:ascii="Times New Roman" w:hAnsi="Times New Roman"/>
                <w:sz w:val="18"/>
                <w:szCs w:val="18"/>
              </w:rPr>
              <w:t>判断</w:t>
            </w:r>
          </w:p>
        </w:tc>
        <w:tc>
          <w:tcPr>
            <w:tcW w:w="7237" w:type="dxa"/>
            <w:gridSpan w:val="6"/>
            <w:vAlign w:val="center"/>
          </w:tcPr>
          <w:p w14:paraId="7B26DB10">
            <w:pPr>
              <w:spacing w:line="240" w:lineRule="auto"/>
              <w:rPr>
                <w:rFonts w:ascii="Times New Roman" w:hAnsi="Times New Roman"/>
                <w:sz w:val="18"/>
                <w:szCs w:val="18"/>
              </w:rPr>
            </w:pPr>
            <w:r>
              <w:rPr>
                <w:rFonts w:ascii="Times New Roman" w:hAnsi="Times New Roman"/>
                <w:sz w:val="18"/>
                <w:szCs w:val="18"/>
              </w:rPr>
              <w:t xml:space="preserve">□极高  □高  □中  □低  </w:t>
            </w:r>
          </w:p>
        </w:tc>
      </w:tr>
      <w:tr w14:paraId="33051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01" w:hRule="atLeast"/>
          <w:jc w:val="center"/>
        </w:trPr>
        <w:tc>
          <w:tcPr>
            <w:tcW w:w="534" w:type="dxa"/>
            <w:textDirection w:val="tbRlV"/>
            <w:vAlign w:val="center"/>
          </w:tcPr>
          <w:p w14:paraId="007E7AD2">
            <w:pPr>
              <w:jc w:val="center"/>
              <w:rPr>
                <w:rFonts w:ascii="Times New Roman" w:hAnsi="Times New Roman"/>
                <w:sz w:val="18"/>
                <w:szCs w:val="18"/>
              </w:rPr>
            </w:pPr>
            <w:r>
              <w:rPr>
                <w:rFonts w:ascii="Times New Roman" w:hAnsi="Times New Roman"/>
                <w:spacing w:val="20"/>
                <w:sz w:val="18"/>
                <w:szCs w:val="18"/>
              </w:rPr>
              <w:t>地质环境条件</w:t>
            </w:r>
          </w:p>
        </w:tc>
        <w:tc>
          <w:tcPr>
            <w:tcW w:w="9122" w:type="dxa"/>
            <w:gridSpan w:val="8"/>
          </w:tcPr>
          <w:p w14:paraId="0F3A7800">
            <w:pPr>
              <w:rPr>
                <w:rFonts w:ascii="Times New Roman" w:hAnsi="Times New Roman"/>
                <w:sz w:val="18"/>
                <w:szCs w:val="18"/>
              </w:rPr>
            </w:pPr>
            <w:r>
              <w:rPr>
                <w:rFonts w:ascii="Times New Roman" w:hAnsi="Times New Roman"/>
                <w:sz w:val="18"/>
                <w:szCs w:val="18"/>
              </w:rPr>
              <w:t>主要是对滑坡发育环境的描述，主要包括地形地貌、地层岩性及岩性组合、地质构造、斜坡结构特征、地表水及地下水、人类工程活动、植被与土地利用等。</w:t>
            </w:r>
          </w:p>
          <w:p w14:paraId="511A43D5">
            <w:pPr>
              <w:rPr>
                <w:rFonts w:ascii="Times New Roman" w:hAnsi="Times New Roman"/>
                <w:sz w:val="18"/>
                <w:szCs w:val="18"/>
              </w:rPr>
            </w:pPr>
          </w:p>
          <w:p w14:paraId="77A931AF">
            <w:pPr>
              <w:rPr>
                <w:rFonts w:ascii="Times New Roman" w:hAnsi="Times New Roman"/>
                <w:sz w:val="18"/>
                <w:szCs w:val="18"/>
              </w:rPr>
            </w:pPr>
          </w:p>
          <w:p w14:paraId="30E3ECED">
            <w:pPr>
              <w:rPr>
                <w:rFonts w:ascii="Times New Roman" w:hAnsi="Times New Roman"/>
                <w:sz w:val="18"/>
                <w:szCs w:val="18"/>
              </w:rPr>
            </w:pPr>
          </w:p>
        </w:tc>
      </w:tr>
      <w:tr w14:paraId="02D1F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15" w:hRule="atLeast"/>
          <w:jc w:val="center"/>
        </w:trPr>
        <w:tc>
          <w:tcPr>
            <w:tcW w:w="534" w:type="dxa"/>
            <w:vMerge w:val="restart"/>
            <w:textDirection w:val="tbRlV"/>
            <w:vAlign w:val="center"/>
          </w:tcPr>
          <w:p w14:paraId="6678D595">
            <w:pPr>
              <w:jc w:val="center"/>
              <w:rPr>
                <w:rFonts w:ascii="Times New Roman" w:hAnsi="Times New Roman"/>
                <w:sz w:val="18"/>
                <w:szCs w:val="18"/>
              </w:rPr>
            </w:pPr>
            <w:r>
              <w:rPr>
                <w:rFonts w:ascii="Times New Roman" w:hAnsi="Times New Roman"/>
                <w:spacing w:val="20"/>
                <w:sz w:val="18"/>
                <w:szCs w:val="18"/>
              </w:rPr>
              <w:t>滑坡基本特征</w:t>
            </w:r>
          </w:p>
        </w:tc>
        <w:tc>
          <w:tcPr>
            <w:tcW w:w="9122" w:type="dxa"/>
            <w:gridSpan w:val="8"/>
          </w:tcPr>
          <w:p w14:paraId="44A69350">
            <w:pPr>
              <w:rPr>
                <w:rFonts w:ascii="Times New Roman" w:hAnsi="Times New Roman"/>
                <w:sz w:val="18"/>
                <w:szCs w:val="18"/>
              </w:rPr>
            </w:pPr>
            <w:r>
              <w:rPr>
                <w:rFonts w:ascii="Times New Roman" w:hAnsi="Times New Roman"/>
                <w:sz w:val="18"/>
                <w:szCs w:val="18"/>
              </w:rPr>
              <w:t>边界条件、形态特征及物质结构：（滑坡陡坎、后壁发育状况，侧边界、前缘、剪出口是否发育可辨，滑体岩性、厚度、结构，滑面及滑带形态、岩性、产状等。）</w:t>
            </w:r>
          </w:p>
          <w:p w14:paraId="456E4A44">
            <w:pPr>
              <w:rPr>
                <w:rFonts w:ascii="Times New Roman" w:hAnsi="Times New Roman"/>
                <w:sz w:val="18"/>
                <w:szCs w:val="18"/>
              </w:rPr>
            </w:pPr>
          </w:p>
          <w:p w14:paraId="3323E341">
            <w:pPr>
              <w:rPr>
                <w:rFonts w:ascii="Times New Roman" w:hAnsi="Times New Roman"/>
                <w:sz w:val="18"/>
                <w:szCs w:val="18"/>
              </w:rPr>
            </w:pPr>
          </w:p>
        </w:tc>
      </w:tr>
      <w:tr w14:paraId="2320F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38" w:hRule="atLeast"/>
          <w:jc w:val="center"/>
        </w:trPr>
        <w:tc>
          <w:tcPr>
            <w:tcW w:w="534" w:type="dxa"/>
            <w:vMerge w:val="continue"/>
          </w:tcPr>
          <w:p w14:paraId="4B459A91">
            <w:pPr>
              <w:rPr>
                <w:rFonts w:ascii="Times New Roman" w:hAnsi="Times New Roman"/>
                <w:sz w:val="18"/>
                <w:szCs w:val="18"/>
              </w:rPr>
            </w:pPr>
          </w:p>
        </w:tc>
        <w:tc>
          <w:tcPr>
            <w:tcW w:w="9122" w:type="dxa"/>
            <w:gridSpan w:val="8"/>
          </w:tcPr>
          <w:p w14:paraId="4847992D">
            <w:pPr>
              <w:rPr>
                <w:rFonts w:ascii="Times New Roman" w:hAnsi="Times New Roman"/>
                <w:sz w:val="18"/>
                <w:szCs w:val="18"/>
              </w:rPr>
            </w:pPr>
            <w:r>
              <w:rPr>
                <w:rFonts w:ascii="Times New Roman" w:hAnsi="Times New Roman"/>
                <w:sz w:val="18"/>
                <w:szCs w:val="18"/>
              </w:rPr>
              <w:t>变形特征及活动历史：（拉张裂缝，剪切裂缝，地面隆起，地面陷落，剥、坠落，树木歪斜，建筑变形，冒渗混水等。）</w:t>
            </w:r>
          </w:p>
          <w:p w14:paraId="7DCC1E6C">
            <w:pPr>
              <w:rPr>
                <w:rFonts w:ascii="Times New Roman" w:hAnsi="Times New Roman"/>
                <w:sz w:val="18"/>
                <w:szCs w:val="18"/>
              </w:rPr>
            </w:pPr>
          </w:p>
          <w:p w14:paraId="1AB81597">
            <w:pPr>
              <w:rPr>
                <w:rFonts w:ascii="Times New Roman" w:hAnsi="Times New Roman"/>
                <w:sz w:val="18"/>
                <w:szCs w:val="18"/>
              </w:rPr>
            </w:pPr>
          </w:p>
        </w:tc>
      </w:tr>
      <w:tr w14:paraId="7AF7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0" w:hRule="atLeast"/>
          <w:jc w:val="center"/>
        </w:trPr>
        <w:tc>
          <w:tcPr>
            <w:tcW w:w="534" w:type="dxa"/>
            <w:textDirection w:val="tbRlV"/>
            <w:vAlign w:val="center"/>
          </w:tcPr>
          <w:p w14:paraId="4350C577">
            <w:pPr>
              <w:jc w:val="center"/>
              <w:rPr>
                <w:rFonts w:ascii="Times New Roman" w:hAnsi="Times New Roman"/>
                <w:sz w:val="18"/>
                <w:szCs w:val="18"/>
              </w:rPr>
            </w:pPr>
            <w:r>
              <w:rPr>
                <w:rFonts w:ascii="Times New Roman" w:hAnsi="Times New Roman"/>
                <w:spacing w:val="20"/>
                <w:sz w:val="18"/>
                <w:szCs w:val="18"/>
              </w:rPr>
              <w:t>稳定性分析</w:t>
            </w:r>
          </w:p>
        </w:tc>
        <w:tc>
          <w:tcPr>
            <w:tcW w:w="9122" w:type="dxa"/>
            <w:gridSpan w:val="8"/>
          </w:tcPr>
          <w:p w14:paraId="0CB43116">
            <w:pPr>
              <w:rPr>
                <w:rFonts w:ascii="Times New Roman" w:hAnsi="Times New Roman"/>
                <w:sz w:val="18"/>
                <w:szCs w:val="18"/>
              </w:rPr>
            </w:pPr>
            <w:r>
              <w:rPr>
                <w:rFonts w:ascii="Times New Roman" w:hAnsi="Times New Roman"/>
                <w:sz w:val="18"/>
                <w:szCs w:val="18"/>
              </w:rPr>
              <w:t>现状稳定性分析：（变形所处阶段，可能的滑动方式和规模，潜在影响范围及判断依据，潜在诱发因素等。）</w:t>
            </w:r>
          </w:p>
          <w:p w14:paraId="77CBDE13">
            <w:pPr>
              <w:rPr>
                <w:rFonts w:ascii="Times New Roman" w:hAnsi="Times New Roman"/>
                <w:sz w:val="18"/>
                <w:szCs w:val="18"/>
              </w:rPr>
            </w:pPr>
          </w:p>
          <w:p w14:paraId="63136ADF">
            <w:pPr>
              <w:rPr>
                <w:rFonts w:ascii="Times New Roman" w:hAnsi="Times New Roman"/>
                <w:sz w:val="18"/>
                <w:szCs w:val="18"/>
              </w:rPr>
            </w:pPr>
          </w:p>
        </w:tc>
      </w:tr>
      <w:tr w14:paraId="51E0B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83" w:hRule="atLeast"/>
          <w:jc w:val="center"/>
        </w:trPr>
        <w:tc>
          <w:tcPr>
            <w:tcW w:w="534" w:type="dxa"/>
            <w:tcBorders>
              <w:bottom w:val="single" w:color="auto" w:sz="4" w:space="0"/>
            </w:tcBorders>
            <w:textDirection w:val="tbRlV"/>
            <w:vAlign w:val="center"/>
          </w:tcPr>
          <w:p w14:paraId="12DE7978">
            <w:pPr>
              <w:jc w:val="center"/>
              <w:rPr>
                <w:rFonts w:ascii="Times New Roman" w:hAnsi="Times New Roman"/>
                <w:sz w:val="18"/>
                <w:szCs w:val="18"/>
              </w:rPr>
            </w:pPr>
            <w:r>
              <w:rPr>
                <w:rFonts w:ascii="Times New Roman" w:hAnsi="Times New Roman"/>
                <w:spacing w:val="20"/>
                <w:sz w:val="18"/>
                <w:szCs w:val="18"/>
              </w:rPr>
              <w:t>危害程度</w:t>
            </w:r>
          </w:p>
        </w:tc>
        <w:tc>
          <w:tcPr>
            <w:tcW w:w="9122" w:type="dxa"/>
            <w:gridSpan w:val="8"/>
            <w:tcBorders>
              <w:bottom w:val="single" w:color="auto" w:sz="4" w:space="0"/>
            </w:tcBorders>
          </w:tcPr>
          <w:p w14:paraId="7BE6A245">
            <w:pPr>
              <w:rPr>
                <w:rFonts w:ascii="Times New Roman" w:hAnsi="Times New Roman"/>
                <w:sz w:val="18"/>
                <w:szCs w:val="18"/>
              </w:rPr>
            </w:pPr>
            <w:r>
              <w:rPr>
                <w:rFonts w:ascii="Times New Roman" w:hAnsi="Times New Roman"/>
                <w:sz w:val="18"/>
                <w:szCs w:val="18"/>
              </w:rPr>
              <w:t>危害程度：（历史灾情、成灾模式；已造成危害情况；滑坡影响范围内的人员、财产及基础设施，滑坡对基础设施的破坏方式，潜在威胁对象及可能的损失。）</w:t>
            </w:r>
          </w:p>
          <w:p w14:paraId="59EC1B50">
            <w:pPr>
              <w:rPr>
                <w:rFonts w:ascii="Times New Roman" w:hAnsi="Times New Roman"/>
                <w:sz w:val="18"/>
                <w:szCs w:val="18"/>
              </w:rPr>
            </w:pPr>
          </w:p>
        </w:tc>
      </w:tr>
    </w:tbl>
    <w:p w14:paraId="1F9E5925">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表C</w:t>
      </w:r>
      <w:r>
        <w:rPr>
          <w:rFonts w:ascii="黑体" w:hAnsi="黑体" w:eastAsia="黑体"/>
        </w:rPr>
        <w:t>.4</w:t>
      </w:r>
      <w:r>
        <w:rPr>
          <w:rFonts w:hint="eastAsia" w:ascii="黑体" w:hAnsi="黑体" w:eastAsia="黑体"/>
        </w:rPr>
        <w:t>滑坡及隐患调查记录表（续）</w:t>
      </w:r>
    </w:p>
    <w:tbl>
      <w:tblPr>
        <w:tblStyle w:val="28"/>
        <w:tblW w:w="9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8882"/>
      </w:tblGrid>
      <w:tr w14:paraId="60C84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529" w:hRule="atLeast"/>
          <w:jc w:val="center"/>
        </w:trPr>
        <w:tc>
          <w:tcPr>
            <w:tcW w:w="774" w:type="dxa"/>
            <w:vAlign w:val="center"/>
          </w:tcPr>
          <w:p w14:paraId="67F3A92A">
            <w:pPr>
              <w:jc w:val="center"/>
              <w:rPr>
                <w:rFonts w:ascii="Times New Roman" w:hAnsi="Times New Roman"/>
                <w:sz w:val="18"/>
                <w:szCs w:val="18"/>
              </w:rPr>
            </w:pPr>
            <w:r>
              <w:rPr>
                <w:rFonts w:ascii="Times New Roman" w:hAnsi="Times New Roman"/>
                <w:sz w:val="18"/>
                <w:szCs w:val="18"/>
              </w:rPr>
              <w:t>平</w:t>
            </w:r>
          </w:p>
          <w:p w14:paraId="09AD8EF9">
            <w:pPr>
              <w:jc w:val="center"/>
              <w:rPr>
                <w:rFonts w:ascii="Times New Roman" w:hAnsi="Times New Roman"/>
                <w:sz w:val="18"/>
                <w:szCs w:val="18"/>
              </w:rPr>
            </w:pPr>
            <w:r>
              <w:rPr>
                <w:rFonts w:ascii="Times New Roman" w:hAnsi="Times New Roman"/>
                <w:sz w:val="18"/>
                <w:szCs w:val="18"/>
              </w:rPr>
              <w:t>面</w:t>
            </w:r>
          </w:p>
          <w:p w14:paraId="62528A59">
            <w:pPr>
              <w:jc w:val="center"/>
              <w:rPr>
                <w:rFonts w:ascii="Times New Roman" w:hAnsi="Times New Roman"/>
                <w:sz w:val="18"/>
                <w:szCs w:val="18"/>
              </w:rPr>
            </w:pPr>
            <w:r>
              <w:rPr>
                <w:rFonts w:ascii="Times New Roman" w:hAnsi="Times New Roman"/>
                <w:sz w:val="18"/>
                <w:szCs w:val="18"/>
              </w:rPr>
              <w:t>图</w:t>
            </w:r>
          </w:p>
          <w:p w14:paraId="13925266">
            <w:pPr>
              <w:jc w:val="center"/>
              <w:rPr>
                <w:rFonts w:ascii="Times New Roman" w:hAnsi="Times New Roman"/>
                <w:sz w:val="18"/>
                <w:szCs w:val="18"/>
              </w:rPr>
            </w:pPr>
            <w:r>
              <w:rPr>
                <w:rFonts w:ascii="Times New Roman" w:hAnsi="Times New Roman"/>
                <w:sz w:val="18"/>
                <w:szCs w:val="18"/>
              </w:rPr>
              <w:t>和</w:t>
            </w:r>
          </w:p>
          <w:p w14:paraId="6F6FD344">
            <w:pPr>
              <w:jc w:val="center"/>
              <w:rPr>
                <w:rFonts w:ascii="Times New Roman" w:hAnsi="Times New Roman"/>
                <w:sz w:val="18"/>
                <w:szCs w:val="18"/>
              </w:rPr>
            </w:pPr>
            <w:r>
              <w:rPr>
                <w:rFonts w:ascii="Times New Roman" w:hAnsi="Times New Roman"/>
                <w:sz w:val="18"/>
                <w:szCs w:val="18"/>
              </w:rPr>
              <w:t>剖</w:t>
            </w:r>
          </w:p>
          <w:p w14:paraId="3008CB18">
            <w:pPr>
              <w:jc w:val="center"/>
              <w:rPr>
                <w:rFonts w:ascii="Times New Roman" w:hAnsi="Times New Roman"/>
                <w:sz w:val="18"/>
                <w:szCs w:val="18"/>
              </w:rPr>
            </w:pPr>
            <w:r>
              <w:rPr>
                <w:rFonts w:ascii="Times New Roman" w:hAnsi="Times New Roman"/>
                <w:sz w:val="18"/>
                <w:szCs w:val="18"/>
              </w:rPr>
              <w:t>面</w:t>
            </w:r>
          </w:p>
          <w:p w14:paraId="5C642711">
            <w:pPr>
              <w:jc w:val="center"/>
              <w:rPr>
                <w:rFonts w:ascii="Times New Roman" w:hAnsi="Times New Roman"/>
                <w:sz w:val="18"/>
                <w:szCs w:val="18"/>
              </w:rPr>
            </w:pPr>
            <w:r>
              <w:rPr>
                <w:rFonts w:ascii="Times New Roman" w:hAnsi="Times New Roman"/>
                <w:sz w:val="18"/>
                <w:szCs w:val="18"/>
              </w:rPr>
              <w:t>图</w:t>
            </w:r>
          </w:p>
        </w:tc>
        <w:tc>
          <w:tcPr>
            <w:tcW w:w="8882" w:type="dxa"/>
          </w:tcPr>
          <w:p w14:paraId="093B9EBB">
            <w:pPr>
              <w:jc w:val="center"/>
              <w:rPr>
                <w:rFonts w:ascii="Times New Roman" w:hAnsi="Times New Roman"/>
                <w:sz w:val="18"/>
                <w:szCs w:val="18"/>
              </w:rPr>
            </w:pPr>
          </w:p>
          <w:p w14:paraId="4F452075">
            <w:pPr>
              <w:widowControl/>
              <w:rPr>
                <w:rFonts w:ascii="Times New Roman" w:hAnsi="Times New Roman"/>
                <w:sz w:val="18"/>
                <w:szCs w:val="18"/>
              </w:rPr>
            </w:pPr>
          </w:p>
          <w:p w14:paraId="29FB0F02">
            <w:pPr>
              <w:jc w:val="center"/>
              <w:rPr>
                <w:rFonts w:ascii="Times New Roman" w:hAnsi="Times New Roman"/>
                <w:sz w:val="18"/>
                <w:szCs w:val="18"/>
              </w:rPr>
            </w:pPr>
          </w:p>
          <w:p w14:paraId="1F7B85C9">
            <w:pPr>
              <w:jc w:val="center"/>
              <w:rPr>
                <w:rFonts w:ascii="Times New Roman" w:hAnsi="Times New Roman"/>
                <w:sz w:val="18"/>
                <w:szCs w:val="18"/>
              </w:rPr>
            </w:pPr>
          </w:p>
        </w:tc>
      </w:tr>
    </w:tbl>
    <w:p w14:paraId="45FA8839">
      <w:pPr>
        <w:pStyle w:val="58"/>
        <w:ind w:firstLine="360"/>
      </w:pPr>
      <w:r>
        <w:rPr>
          <w:rFonts w:ascii="Times New Roman"/>
          <w:sz w:val="18"/>
          <w:szCs w:val="18"/>
        </w:rPr>
        <w:t xml:space="preserve">记    录：            校    核：           项目负责：      </w:t>
      </w:r>
      <w:r>
        <w:rPr>
          <w:rFonts w:hint="eastAsia" w:ascii="Times New Roman"/>
          <w:sz w:val="18"/>
          <w:szCs w:val="18"/>
        </w:rPr>
        <w:t xml:space="preserve"> </w:t>
      </w:r>
      <w:r>
        <w:rPr>
          <w:rFonts w:ascii="Times New Roman"/>
          <w:sz w:val="18"/>
          <w:szCs w:val="18"/>
        </w:rPr>
        <w:t xml:space="preserve">       填表日期：  </w:t>
      </w:r>
      <w:r>
        <w:rPr>
          <w:rFonts w:hint="eastAsia" w:ascii="Times New Roman"/>
          <w:sz w:val="18"/>
          <w:szCs w:val="18"/>
        </w:rPr>
        <w:t xml:space="preserve">  </w:t>
      </w:r>
      <w:r>
        <w:rPr>
          <w:rFonts w:ascii="Times New Roman"/>
          <w:sz w:val="18"/>
          <w:szCs w:val="18"/>
        </w:rPr>
        <w:t xml:space="preserve">   年     月     日</w:t>
      </w:r>
    </w:p>
    <w:p w14:paraId="358A5B8C">
      <w:pPr>
        <w:pStyle w:val="58"/>
        <w:ind w:firstLine="420"/>
      </w:pPr>
    </w:p>
    <w:p w14:paraId="01A8D23D">
      <w:pPr>
        <w:pStyle w:val="58"/>
        <w:ind w:firstLine="420"/>
      </w:pPr>
    </w:p>
    <w:p w14:paraId="681BB904">
      <w:pPr>
        <w:pStyle w:val="58"/>
        <w:ind w:firstLine="420"/>
      </w:pPr>
    </w:p>
    <w:p w14:paraId="4B870E79">
      <w:pPr>
        <w:pStyle w:val="79"/>
        <w:spacing w:before="156" w:after="156"/>
      </w:pPr>
      <w:r>
        <w:rPr>
          <w:rFonts w:hint="eastAsia"/>
        </w:rPr>
        <w:t>崩塌及隐患调查记录表</w:t>
      </w:r>
    </w:p>
    <w:tbl>
      <w:tblPr>
        <w:tblStyle w:val="28"/>
        <w:tblW w:w="96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1"/>
        <w:gridCol w:w="1308"/>
        <w:gridCol w:w="563"/>
        <w:gridCol w:w="123"/>
        <w:gridCol w:w="466"/>
        <w:gridCol w:w="17"/>
        <w:gridCol w:w="696"/>
        <w:gridCol w:w="141"/>
        <w:gridCol w:w="394"/>
        <w:gridCol w:w="944"/>
        <w:gridCol w:w="185"/>
        <w:gridCol w:w="484"/>
        <w:gridCol w:w="797"/>
        <w:gridCol w:w="163"/>
        <w:gridCol w:w="395"/>
        <w:gridCol w:w="656"/>
        <w:gridCol w:w="1183"/>
      </w:tblGrid>
      <w:tr w14:paraId="4DBA1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3408B74E">
            <w:pPr>
              <w:spacing w:line="240" w:lineRule="auto"/>
              <w:jc w:val="center"/>
              <w:rPr>
                <w:rFonts w:ascii="宋体" w:hAnsi="宋体" w:cs="宋体"/>
                <w:sz w:val="18"/>
                <w:szCs w:val="18"/>
              </w:rPr>
            </w:pPr>
            <w:r>
              <w:rPr>
                <w:rFonts w:hint="eastAsia" w:ascii="宋体" w:hAnsi="宋体" w:cs="宋体"/>
                <w:sz w:val="18"/>
                <w:szCs w:val="18"/>
              </w:rPr>
              <w:t>统一编号</w:t>
            </w:r>
          </w:p>
        </w:tc>
        <w:tc>
          <w:tcPr>
            <w:tcW w:w="3314" w:type="dxa"/>
            <w:gridSpan w:val="7"/>
            <w:vAlign w:val="center"/>
          </w:tcPr>
          <w:p w14:paraId="4D6D01BA">
            <w:pPr>
              <w:spacing w:line="240" w:lineRule="auto"/>
              <w:rPr>
                <w:rFonts w:ascii="宋体" w:hAnsi="宋体" w:cs="宋体"/>
                <w:sz w:val="18"/>
                <w:szCs w:val="18"/>
              </w:rPr>
            </w:pPr>
          </w:p>
        </w:tc>
        <w:tc>
          <w:tcPr>
            <w:tcW w:w="1338" w:type="dxa"/>
            <w:gridSpan w:val="2"/>
            <w:vAlign w:val="center"/>
          </w:tcPr>
          <w:p w14:paraId="69E826F7">
            <w:pPr>
              <w:spacing w:line="240" w:lineRule="auto"/>
              <w:rPr>
                <w:rFonts w:ascii="宋体" w:hAnsi="宋体" w:cs="宋体"/>
                <w:sz w:val="18"/>
                <w:szCs w:val="18"/>
              </w:rPr>
            </w:pPr>
            <w:r>
              <w:rPr>
                <w:rFonts w:hint="eastAsia" w:ascii="宋体" w:hAnsi="宋体" w:cs="宋体"/>
                <w:sz w:val="18"/>
                <w:szCs w:val="18"/>
              </w:rPr>
              <w:t>野外编号</w:t>
            </w:r>
          </w:p>
        </w:tc>
        <w:tc>
          <w:tcPr>
            <w:tcW w:w="3863" w:type="dxa"/>
            <w:gridSpan w:val="7"/>
            <w:vAlign w:val="center"/>
          </w:tcPr>
          <w:p w14:paraId="0A2BCF3D">
            <w:pPr>
              <w:spacing w:line="240" w:lineRule="auto"/>
              <w:rPr>
                <w:rFonts w:ascii="宋体" w:hAnsi="宋体" w:cs="宋体"/>
                <w:sz w:val="18"/>
                <w:szCs w:val="18"/>
              </w:rPr>
            </w:pPr>
          </w:p>
        </w:tc>
      </w:tr>
      <w:tr w14:paraId="3E539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76A3F076">
            <w:pPr>
              <w:spacing w:line="240" w:lineRule="auto"/>
              <w:jc w:val="center"/>
              <w:rPr>
                <w:rFonts w:ascii="宋体" w:hAnsi="宋体" w:cs="宋体"/>
                <w:sz w:val="18"/>
                <w:szCs w:val="18"/>
              </w:rPr>
            </w:pPr>
            <w:r>
              <w:rPr>
                <w:rFonts w:hint="eastAsia" w:ascii="宋体" w:hAnsi="宋体" w:cs="宋体"/>
                <w:sz w:val="18"/>
                <w:szCs w:val="18"/>
              </w:rPr>
              <w:t>名称</w:t>
            </w:r>
          </w:p>
        </w:tc>
        <w:tc>
          <w:tcPr>
            <w:tcW w:w="8515" w:type="dxa"/>
            <w:gridSpan w:val="16"/>
            <w:vAlign w:val="center"/>
          </w:tcPr>
          <w:p w14:paraId="0A4CC5F9">
            <w:pPr>
              <w:spacing w:line="240" w:lineRule="auto"/>
              <w:rPr>
                <w:rFonts w:ascii="宋体" w:hAnsi="宋体" w:cs="宋体"/>
                <w:sz w:val="18"/>
                <w:szCs w:val="18"/>
              </w:rPr>
            </w:pPr>
          </w:p>
        </w:tc>
      </w:tr>
      <w:tr w14:paraId="659CD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27296AA3">
            <w:pPr>
              <w:spacing w:line="240" w:lineRule="auto"/>
              <w:jc w:val="center"/>
              <w:rPr>
                <w:rFonts w:ascii="宋体" w:hAnsi="宋体" w:cs="宋体"/>
                <w:sz w:val="18"/>
                <w:szCs w:val="18"/>
              </w:rPr>
            </w:pPr>
            <w:r>
              <w:rPr>
                <w:rFonts w:hint="eastAsia" w:ascii="宋体" w:hAnsi="宋体" w:cs="宋体"/>
                <w:sz w:val="18"/>
                <w:szCs w:val="18"/>
              </w:rPr>
              <w:t>地理位置</w:t>
            </w:r>
          </w:p>
        </w:tc>
        <w:tc>
          <w:tcPr>
            <w:tcW w:w="8515" w:type="dxa"/>
            <w:gridSpan w:val="16"/>
            <w:vAlign w:val="center"/>
          </w:tcPr>
          <w:p w14:paraId="7AECB306">
            <w:pPr>
              <w:spacing w:line="240" w:lineRule="auto"/>
              <w:jc w:val="right"/>
              <w:rPr>
                <w:rFonts w:ascii="宋体" w:hAnsi="宋体" w:cs="宋体"/>
                <w:sz w:val="18"/>
                <w:szCs w:val="18"/>
              </w:rPr>
            </w:pPr>
            <w:r>
              <w:rPr>
                <w:rFonts w:ascii="Times New Roman" w:hAnsi="Times New Roman"/>
                <w:sz w:val="18"/>
                <w:szCs w:val="18"/>
              </w:rPr>
              <w:t xml:space="preserve">省      </w:t>
            </w:r>
            <w:r>
              <w:rPr>
                <w:rFonts w:hint="eastAsia" w:ascii="Times New Roman" w:hAnsi="Times New Roman"/>
                <w:sz w:val="18"/>
                <w:szCs w:val="18"/>
              </w:rPr>
              <w:t xml:space="preserve"> </w:t>
            </w:r>
            <w:r>
              <w:rPr>
                <w:rFonts w:ascii="Times New Roman" w:hAnsi="Times New Roman"/>
                <w:sz w:val="18"/>
                <w:szCs w:val="18"/>
              </w:rPr>
              <w:t xml:space="preserve">   市         县（市、区）          乡          村             组</w:t>
            </w:r>
          </w:p>
        </w:tc>
      </w:tr>
      <w:tr w14:paraId="12676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Merge w:val="restart"/>
            <w:vAlign w:val="center"/>
          </w:tcPr>
          <w:p w14:paraId="4CC22303">
            <w:pPr>
              <w:spacing w:line="240" w:lineRule="auto"/>
              <w:jc w:val="center"/>
              <w:rPr>
                <w:rFonts w:ascii="宋体" w:hAnsi="宋体" w:cs="宋体"/>
                <w:sz w:val="18"/>
                <w:szCs w:val="18"/>
              </w:rPr>
            </w:pPr>
            <w:r>
              <w:rPr>
                <w:rFonts w:hint="eastAsia" w:ascii="宋体" w:hAnsi="宋体" w:cs="宋体"/>
                <w:sz w:val="18"/>
                <w:szCs w:val="18"/>
              </w:rPr>
              <w:t>坐标</w:t>
            </w:r>
          </w:p>
        </w:tc>
        <w:tc>
          <w:tcPr>
            <w:tcW w:w="1994" w:type="dxa"/>
            <w:gridSpan w:val="3"/>
            <w:vAlign w:val="center"/>
          </w:tcPr>
          <w:p w14:paraId="4EC5FD42">
            <w:pPr>
              <w:spacing w:line="240" w:lineRule="auto"/>
              <w:jc w:val="center"/>
              <w:rPr>
                <w:rFonts w:ascii="宋体" w:hAnsi="宋体" w:cs="宋体"/>
                <w:sz w:val="18"/>
                <w:szCs w:val="18"/>
              </w:rPr>
            </w:pPr>
            <w:r>
              <w:rPr>
                <w:rFonts w:hint="eastAsia" w:ascii="宋体" w:hAnsi="宋体" w:cs="宋体"/>
                <w:sz w:val="18"/>
                <w:szCs w:val="18"/>
              </w:rPr>
              <w:t>经度</w:t>
            </w:r>
          </w:p>
        </w:tc>
        <w:tc>
          <w:tcPr>
            <w:tcW w:w="2658" w:type="dxa"/>
            <w:gridSpan w:val="6"/>
            <w:vAlign w:val="center"/>
          </w:tcPr>
          <w:p w14:paraId="1C91BEA5">
            <w:pPr>
              <w:spacing w:line="240" w:lineRule="auto"/>
              <w:jc w:val="center"/>
              <w:rPr>
                <w:rFonts w:ascii="宋体" w:hAnsi="宋体" w:cs="宋体"/>
                <w:sz w:val="18"/>
                <w:szCs w:val="18"/>
              </w:rPr>
            </w:pPr>
            <w:r>
              <w:rPr>
                <w:rFonts w:hint="eastAsia" w:ascii="宋体" w:hAnsi="宋体" w:cs="宋体"/>
                <w:sz w:val="18"/>
                <w:szCs w:val="18"/>
              </w:rPr>
              <w:t>°        ′       ″</w:t>
            </w:r>
          </w:p>
        </w:tc>
        <w:tc>
          <w:tcPr>
            <w:tcW w:w="1629" w:type="dxa"/>
            <w:gridSpan w:val="4"/>
            <w:vAlign w:val="center"/>
          </w:tcPr>
          <w:p w14:paraId="1E4B8879">
            <w:pPr>
              <w:spacing w:line="240" w:lineRule="auto"/>
              <w:jc w:val="center"/>
              <w:rPr>
                <w:rFonts w:ascii="宋体" w:hAnsi="宋体" w:cs="宋体"/>
                <w:sz w:val="18"/>
                <w:szCs w:val="18"/>
              </w:rPr>
            </w:pPr>
            <w:r>
              <w:rPr>
                <w:rFonts w:hint="eastAsia" w:ascii="宋体" w:hAnsi="宋体" w:cs="宋体"/>
                <w:sz w:val="18"/>
                <w:szCs w:val="18"/>
              </w:rPr>
              <w:t>纬度</w:t>
            </w:r>
          </w:p>
        </w:tc>
        <w:tc>
          <w:tcPr>
            <w:tcW w:w="2234" w:type="dxa"/>
            <w:gridSpan w:val="3"/>
            <w:vAlign w:val="center"/>
          </w:tcPr>
          <w:p w14:paraId="52BF5D34">
            <w:pPr>
              <w:spacing w:line="240" w:lineRule="auto"/>
              <w:jc w:val="center"/>
              <w:rPr>
                <w:rFonts w:ascii="宋体" w:hAnsi="宋体" w:cs="宋体"/>
                <w:sz w:val="18"/>
                <w:szCs w:val="18"/>
              </w:rPr>
            </w:pPr>
            <w:r>
              <w:rPr>
                <w:rFonts w:hint="eastAsia" w:ascii="宋体" w:hAnsi="宋体" w:cs="宋体"/>
                <w:sz w:val="18"/>
                <w:szCs w:val="18"/>
              </w:rPr>
              <w:t>°        ′       ″</w:t>
            </w:r>
          </w:p>
        </w:tc>
      </w:tr>
      <w:tr w14:paraId="780BD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Merge w:val="continue"/>
            <w:vAlign w:val="center"/>
          </w:tcPr>
          <w:p w14:paraId="23C71DAB">
            <w:pPr>
              <w:spacing w:line="240" w:lineRule="auto"/>
              <w:jc w:val="center"/>
              <w:rPr>
                <w:rFonts w:ascii="宋体" w:hAnsi="宋体" w:cs="宋体"/>
                <w:sz w:val="18"/>
                <w:szCs w:val="18"/>
              </w:rPr>
            </w:pPr>
          </w:p>
        </w:tc>
        <w:tc>
          <w:tcPr>
            <w:tcW w:w="1994" w:type="dxa"/>
            <w:gridSpan w:val="3"/>
            <w:vAlign w:val="center"/>
          </w:tcPr>
          <w:p w14:paraId="28C9FCBE">
            <w:pPr>
              <w:spacing w:line="240" w:lineRule="auto"/>
              <w:jc w:val="center"/>
              <w:rPr>
                <w:rFonts w:ascii="宋体" w:hAnsi="宋体" w:cs="宋体"/>
                <w:sz w:val="18"/>
                <w:szCs w:val="18"/>
              </w:rPr>
            </w:pPr>
            <w:r>
              <w:rPr>
                <w:rFonts w:hint="eastAsia" w:ascii="宋体" w:hAnsi="宋体" w:cs="宋体"/>
                <w:sz w:val="18"/>
                <w:szCs w:val="18"/>
              </w:rPr>
              <w:t>X</w:t>
            </w:r>
          </w:p>
        </w:tc>
        <w:tc>
          <w:tcPr>
            <w:tcW w:w="2658" w:type="dxa"/>
            <w:gridSpan w:val="6"/>
            <w:vAlign w:val="center"/>
          </w:tcPr>
          <w:p w14:paraId="67F1D3C5">
            <w:pPr>
              <w:spacing w:line="240" w:lineRule="auto"/>
              <w:jc w:val="center"/>
              <w:rPr>
                <w:rFonts w:ascii="宋体" w:hAnsi="宋体" w:cs="宋体"/>
                <w:sz w:val="18"/>
                <w:szCs w:val="18"/>
              </w:rPr>
            </w:pPr>
          </w:p>
        </w:tc>
        <w:tc>
          <w:tcPr>
            <w:tcW w:w="1629" w:type="dxa"/>
            <w:gridSpan w:val="4"/>
            <w:vAlign w:val="center"/>
          </w:tcPr>
          <w:p w14:paraId="43562919">
            <w:pPr>
              <w:spacing w:line="240" w:lineRule="auto"/>
              <w:jc w:val="center"/>
              <w:rPr>
                <w:rFonts w:ascii="宋体" w:hAnsi="宋体" w:cs="宋体"/>
                <w:sz w:val="18"/>
                <w:szCs w:val="18"/>
              </w:rPr>
            </w:pPr>
            <w:r>
              <w:rPr>
                <w:rFonts w:hint="eastAsia" w:ascii="宋体" w:hAnsi="宋体" w:cs="宋体"/>
                <w:sz w:val="18"/>
                <w:szCs w:val="18"/>
              </w:rPr>
              <w:t>Y</w:t>
            </w:r>
          </w:p>
        </w:tc>
        <w:tc>
          <w:tcPr>
            <w:tcW w:w="2234" w:type="dxa"/>
            <w:gridSpan w:val="3"/>
            <w:vAlign w:val="center"/>
          </w:tcPr>
          <w:p w14:paraId="5B737993">
            <w:pPr>
              <w:spacing w:line="240" w:lineRule="auto"/>
              <w:jc w:val="center"/>
              <w:rPr>
                <w:rFonts w:ascii="宋体" w:hAnsi="宋体" w:cs="宋体"/>
                <w:sz w:val="18"/>
                <w:szCs w:val="18"/>
              </w:rPr>
            </w:pPr>
          </w:p>
        </w:tc>
      </w:tr>
      <w:tr w14:paraId="0C3F7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7" w:hRule="atLeast"/>
        </w:trPr>
        <w:tc>
          <w:tcPr>
            <w:tcW w:w="1141" w:type="dxa"/>
            <w:vAlign w:val="center"/>
          </w:tcPr>
          <w:p w14:paraId="7A99A982">
            <w:pPr>
              <w:spacing w:line="240" w:lineRule="auto"/>
              <w:jc w:val="center"/>
              <w:rPr>
                <w:rFonts w:ascii="宋体" w:hAnsi="宋体" w:cs="宋体"/>
                <w:sz w:val="18"/>
                <w:szCs w:val="18"/>
              </w:rPr>
            </w:pPr>
            <w:r>
              <w:rPr>
                <w:rFonts w:hint="eastAsia" w:ascii="宋体" w:hAnsi="宋体" w:cs="宋体"/>
                <w:sz w:val="18"/>
                <w:szCs w:val="18"/>
              </w:rPr>
              <w:t>地层岩性</w:t>
            </w:r>
          </w:p>
        </w:tc>
        <w:tc>
          <w:tcPr>
            <w:tcW w:w="1994" w:type="dxa"/>
            <w:gridSpan w:val="3"/>
            <w:vAlign w:val="center"/>
          </w:tcPr>
          <w:p w14:paraId="7408E585">
            <w:pPr>
              <w:spacing w:line="240" w:lineRule="auto"/>
              <w:rPr>
                <w:rFonts w:ascii="宋体" w:hAnsi="宋体" w:cs="宋体"/>
                <w:sz w:val="18"/>
                <w:szCs w:val="18"/>
              </w:rPr>
            </w:pPr>
          </w:p>
        </w:tc>
        <w:tc>
          <w:tcPr>
            <w:tcW w:w="1179" w:type="dxa"/>
            <w:gridSpan w:val="3"/>
            <w:vAlign w:val="center"/>
          </w:tcPr>
          <w:p w14:paraId="145A24EB">
            <w:pPr>
              <w:spacing w:line="240" w:lineRule="auto"/>
              <w:jc w:val="center"/>
              <w:rPr>
                <w:rFonts w:ascii="宋体" w:hAnsi="宋体" w:cs="宋体"/>
                <w:sz w:val="18"/>
                <w:szCs w:val="18"/>
              </w:rPr>
            </w:pPr>
            <w:r>
              <w:rPr>
                <w:rFonts w:hint="eastAsia" w:ascii="宋体" w:hAnsi="宋体" w:cs="宋体"/>
                <w:sz w:val="18"/>
                <w:szCs w:val="18"/>
              </w:rPr>
              <w:t>斜坡结构</w:t>
            </w:r>
          </w:p>
          <w:p w14:paraId="6146F9C0">
            <w:pPr>
              <w:spacing w:line="240" w:lineRule="auto"/>
              <w:jc w:val="center"/>
              <w:rPr>
                <w:rFonts w:ascii="宋体" w:hAnsi="宋体" w:cs="宋体"/>
                <w:sz w:val="18"/>
                <w:szCs w:val="18"/>
              </w:rPr>
            </w:pPr>
            <w:r>
              <w:rPr>
                <w:rFonts w:hint="eastAsia" w:ascii="宋体" w:hAnsi="宋体" w:cs="宋体"/>
                <w:sz w:val="18"/>
                <w:szCs w:val="18"/>
              </w:rPr>
              <w:t>类型</w:t>
            </w:r>
          </w:p>
        </w:tc>
        <w:tc>
          <w:tcPr>
            <w:tcW w:w="5342" w:type="dxa"/>
            <w:gridSpan w:val="10"/>
            <w:vAlign w:val="center"/>
          </w:tcPr>
          <w:p w14:paraId="7AE8254B">
            <w:pPr>
              <w:spacing w:line="240" w:lineRule="auto"/>
              <w:rPr>
                <w:rFonts w:ascii="宋体" w:hAnsi="宋体" w:cs="宋体"/>
                <w:sz w:val="18"/>
                <w:szCs w:val="18"/>
              </w:rPr>
            </w:pPr>
            <w:r>
              <w:rPr>
                <w:rFonts w:hint="eastAsia" w:ascii="宋体" w:hAnsi="宋体" w:cs="宋体"/>
                <w:sz w:val="18"/>
                <w:szCs w:val="18"/>
              </w:rPr>
              <w:t xml:space="preserve">□土质斜坡（□黏性土类斜坡  □碎石类斜坡  □黄土类斜坡）  □岩质斜坡（□顺向坡  □斜向坡  □横向坡  □逆向坡  </w:t>
            </w:r>
          </w:p>
          <w:p w14:paraId="36EBB9B0">
            <w:pPr>
              <w:spacing w:line="240" w:lineRule="auto"/>
              <w:rPr>
                <w:rFonts w:ascii="宋体" w:hAnsi="宋体" w:cs="宋体"/>
                <w:sz w:val="18"/>
                <w:szCs w:val="18"/>
                <w:u w:val="single"/>
              </w:rPr>
            </w:pPr>
            <w:r>
              <w:rPr>
                <w:rFonts w:hint="eastAsia" w:ascii="宋体" w:hAnsi="宋体" w:cs="宋体"/>
                <w:sz w:val="18"/>
                <w:szCs w:val="18"/>
              </w:rPr>
              <w:t>□近水平层状坡  □块状结构斜坡）</w:t>
            </w:r>
          </w:p>
        </w:tc>
      </w:tr>
      <w:tr w14:paraId="5B1B8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9" w:hRule="atLeast"/>
        </w:trPr>
        <w:tc>
          <w:tcPr>
            <w:tcW w:w="1141" w:type="dxa"/>
            <w:vAlign w:val="center"/>
          </w:tcPr>
          <w:p w14:paraId="78BD57A2">
            <w:pPr>
              <w:spacing w:line="240" w:lineRule="auto"/>
              <w:jc w:val="center"/>
              <w:rPr>
                <w:rFonts w:ascii="宋体" w:hAnsi="宋体" w:cs="宋体"/>
                <w:sz w:val="18"/>
                <w:szCs w:val="18"/>
              </w:rPr>
            </w:pPr>
            <w:r>
              <w:rPr>
                <w:rFonts w:hint="eastAsia" w:ascii="宋体" w:hAnsi="宋体" w:cs="宋体"/>
                <w:sz w:val="18"/>
                <w:szCs w:val="18"/>
              </w:rPr>
              <w:t>崩塌</w:t>
            </w:r>
          </w:p>
          <w:p w14:paraId="12D7E428">
            <w:pPr>
              <w:spacing w:line="240" w:lineRule="auto"/>
              <w:jc w:val="center"/>
              <w:rPr>
                <w:rFonts w:ascii="宋体" w:hAnsi="宋体" w:cs="宋体"/>
                <w:sz w:val="18"/>
                <w:szCs w:val="18"/>
              </w:rPr>
            </w:pPr>
            <w:r>
              <w:rPr>
                <w:rFonts w:hint="eastAsia" w:ascii="宋体" w:hAnsi="宋体" w:cs="宋体"/>
                <w:sz w:val="18"/>
                <w:szCs w:val="18"/>
              </w:rPr>
              <w:t>类型</w:t>
            </w:r>
          </w:p>
        </w:tc>
        <w:tc>
          <w:tcPr>
            <w:tcW w:w="1994" w:type="dxa"/>
            <w:gridSpan w:val="3"/>
            <w:vAlign w:val="center"/>
          </w:tcPr>
          <w:p w14:paraId="7F588135">
            <w:pPr>
              <w:spacing w:line="240" w:lineRule="auto"/>
              <w:rPr>
                <w:rFonts w:ascii="宋体" w:hAnsi="宋体" w:cs="宋体"/>
                <w:sz w:val="18"/>
                <w:szCs w:val="18"/>
              </w:rPr>
            </w:pPr>
            <w:r>
              <w:rPr>
                <w:rFonts w:hint="eastAsia" w:ascii="宋体" w:hAnsi="宋体" w:cs="宋体"/>
                <w:sz w:val="18"/>
                <w:szCs w:val="18"/>
              </w:rPr>
              <w:t>□岩质    □土质</w:t>
            </w:r>
          </w:p>
        </w:tc>
        <w:tc>
          <w:tcPr>
            <w:tcW w:w="1179" w:type="dxa"/>
            <w:gridSpan w:val="3"/>
            <w:vAlign w:val="center"/>
          </w:tcPr>
          <w:p w14:paraId="0161D4AE">
            <w:pPr>
              <w:spacing w:line="240" w:lineRule="auto"/>
              <w:jc w:val="center"/>
              <w:rPr>
                <w:rFonts w:ascii="宋体" w:hAnsi="宋体" w:cs="宋体"/>
                <w:sz w:val="18"/>
                <w:szCs w:val="18"/>
              </w:rPr>
            </w:pPr>
            <w:r>
              <w:rPr>
                <w:rFonts w:hint="eastAsia" w:ascii="宋体" w:hAnsi="宋体" w:cs="宋体"/>
                <w:sz w:val="18"/>
                <w:szCs w:val="18"/>
              </w:rPr>
              <w:t>控制结构面类型</w:t>
            </w:r>
          </w:p>
        </w:tc>
        <w:tc>
          <w:tcPr>
            <w:tcW w:w="5342" w:type="dxa"/>
            <w:gridSpan w:val="10"/>
            <w:vAlign w:val="center"/>
          </w:tcPr>
          <w:p w14:paraId="2128C598">
            <w:pPr>
              <w:spacing w:line="240" w:lineRule="auto"/>
              <w:rPr>
                <w:rFonts w:ascii="宋体" w:hAnsi="宋体" w:cs="宋体"/>
                <w:sz w:val="18"/>
                <w:szCs w:val="18"/>
              </w:rPr>
            </w:pPr>
            <w:r>
              <w:rPr>
                <w:rFonts w:hint="eastAsia" w:ascii="宋体" w:hAnsi="宋体" w:cs="宋体"/>
                <w:sz w:val="18"/>
                <w:szCs w:val="18"/>
              </w:rPr>
              <w:t>□卸荷裂隙  □软弱夹层层面  □节理裂隙</w:t>
            </w:r>
          </w:p>
          <w:p w14:paraId="34311C68">
            <w:pPr>
              <w:spacing w:line="240" w:lineRule="auto"/>
              <w:rPr>
                <w:rFonts w:ascii="宋体" w:hAnsi="宋体" w:cs="宋体"/>
                <w:sz w:val="18"/>
                <w:szCs w:val="18"/>
              </w:rPr>
            </w:pPr>
            <w:r>
              <w:rPr>
                <w:rFonts w:hint="eastAsia" w:ascii="宋体" w:hAnsi="宋体" w:cs="宋体"/>
                <w:sz w:val="18"/>
                <w:szCs w:val="18"/>
              </w:rPr>
              <w:t>□风化剥蚀界面  □基覆界面  □其他</w:t>
            </w:r>
            <w:r>
              <w:rPr>
                <w:rFonts w:hint="eastAsia" w:ascii="宋体" w:hAnsi="宋体" w:cs="宋体"/>
                <w:sz w:val="18"/>
                <w:szCs w:val="18"/>
                <w:u w:val="single"/>
              </w:rPr>
              <w:t xml:space="preserve">            </w:t>
            </w:r>
          </w:p>
        </w:tc>
      </w:tr>
      <w:tr w14:paraId="77AFB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5" w:hRule="atLeast"/>
        </w:trPr>
        <w:tc>
          <w:tcPr>
            <w:tcW w:w="1141" w:type="dxa"/>
            <w:vAlign w:val="center"/>
          </w:tcPr>
          <w:p w14:paraId="4AD69F66">
            <w:pPr>
              <w:spacing w:line="240" w:lineRule="auto"/>
              <w:jc w:val="center"/>
              <w:rPr>
                <w:rFonts w:ascii="宋体" w:hAnsi="宋体" w:cs="宋体"/>
                <w:sz w:val="18"/>
                <w:szCs w:val="18"/>
              </w:rPr>
            </w:pPr>
            <w:r>
              <w:rPr>
                <w:rFonts w:hint="eastAsia" w:ascii="宋体" w:hAnsi="宋体" w:cs="宋体"/>
                <w:sz w:val="18"/>
                <w:szCs w:val="18"/>
              </w:rPr>
              <w:t>运动形式</w:t>
            </w:r>
          </w:p>
        </w:tc>
        <w:tc>
          <w:tcPr>
            <w:tcW w:w="8515" w:type="dxa"/>
            <w:gridSpan w:val="16"/>
            <w:vAlign w:val="center"/>
          </w:tcPr>
          <w:p w14:paraId="26ADE17A">
            <w:pPr>
              <w:spacing w:line="240" w:lineRule="auto"/>
              <w:rPr>
                <w:rFonts w:ascii="宋体" w:hAnsi="宋体" w:cs="宋体"/>
                <w:sz w:val="18"/>
                <w:szCs w:val="18"/>
              </w:rPr>
            </w:pPr>
            <w:r>
              <w:rPr>
                <w:rFonts w:hint="eastAsia" w:ascii="宋体" w:hAnsi="宋体" w:cs="宋体"/>
                <w:sz w:val="18"/>
                <w:szCs w:val="18"/>
              </w:rPr>
              <w:t>□倾倒式  □滑移式  □坠落式</w:t>
            </w:r>
          </w:p>
        </w:tc>
      </w:tr>
      <w:tr w14:paraId="16622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7" w:hRule="atLeast"/>
        </w:trPr>
        <w:tc>
          <w:tcPr>
            <w:tcW w:w="1141" w:type="dxa"/>
            <w:vAlign w:val="center"/>
          </w:tcPr>
          <w:p w14:paraId="2BB8B721">
            <w:pPr>
              <w:spacing w:line="240" w:lineRule="auto"/>
              <w:jc w:val="center"/>
              <w:rPr>
                <w:rFonts w:ascii="宋体" w:hAnsi="宋体" w:cs="宋体"/>
                <w:sz w:val="18"/>
                <w:szCs w:val="18"/>
              </w:rPr>
            </w:pPr>
            <w:r>
              <w:rPr>
                <w:rFonts w:hint="eastAsia" w:ascii="宋体" w:hAnsi="宋体" w:cs="宋体"/>
                <w:sz w:val="18"/>
                <w:szCs w:val="18"/>
              </w:rPr>
              <w:t>宏观稳定性评价</w:t>
            </w:r>
          </w:p>
        </w:tc>
        <w:tc>
          <w:tcPr>
            <w:tcW w:w="1994" w:type="dxa"/>
            <w:gridSpan w:val="3"/>
            <w:vAlign w:val="center"/>
          </w:tcPr>
          <w:p w14:paraId="68562542">
            <w:pPr>
              <w:spacing w:line="240" w:lineRule="auto"/>
              <w:rPr>
                <w:rFonts w:ascii="宋体" w:hAnsi="宋体" w:cs="宋体"/>
                <w:sz w:val="18"/>
                <w:szCs w:val="18"/>
              </w:rPr>
            </w:pPr>
            <w:r>
              <w:rPr>
                <w:rFonts w:hint="eastAsia" w:ascii="宋体" w:hAnsi="宋体" w:cs="宋体"/>
                <w:sz w:val="18"/>
                <w:szCs w:val="18"/>
              </w:rPr>
              <w:t>□不稳定   □欠稳定</w:t>
            </w:r>
          </w:p>
          <w:p w14:paraId="4BE03EA0">
            <w:pPr>
              <w:spacing w:line="240" w:lineRule="auto"/>
              <w:rPr>
                <w:rFonts w:ascii="宋体" w:hAnsi="宋体" w:cs="宋体"/>
                <w:sz w:val="18"/>
                <w:szCs w:val="18"/>
              </w:rPr>
            </w:pPr>
            <w:r>
              <w:rPr>
                <w:rFonts w:hint="eastAsia" w:ascii="宋体" w:hAnsi="宋体" w:cs="宋体"/>
                <w:sz w:val="18"/>
                <w:szCs w:val="18"/>
              </w:rPr>
              <w:t>□基本稳定   □稳定</w:t>
            </w:r>
          </w:p>
        </w:tc>
        <w:tc>
          <w:tcPr>
            <w:tcW w:w="1179" w:type="dxa"/>
            <w:gridSpan w:val="3"/>
            <w:vAlign w:val="center"/>
          </w:tcPr>
          <w:p w14:paraId="74CF5E4F">
            <w:pPr>
              <w:spacing w:line="240" w:lineRule="auto"/>
              <w:jc w:val="center"/>
              <w:rPr>
                <w:rFonts w:ascii="宋体" w:hAnsi="宋体" w:cs="宋体"/>
                <w:sz w:val="18"/>
                <w:szCs w:val="18"/>
              </w:rPr>
            </w:pPr>
            <w:r>
              <w:rPr>
                <w:rFonts w:hint="eastAsia" w:ascii="宋体" w:hAnsi="宋体" w:cs="宋体"/>
                <w:sz w:val="18"/>
                <w:szCs w:val="18"/>
              </w:rPr>
              <w:t>活动状态</w:t>
            </w:r>
          </w:p>
        </w:tc>
        <w:tc>
          <w:tcPr>
            <w:tcW w:w="5342" w:type="dxa"/>
            <w:gridSpan w:val="10"/>
            <w:vAlign w:val="center"/>
          </w:tcPr>
          <w:p w14:paraId="5261E2E7">
            <w:pPr>
              <w:spacing w:line="240" w:lineRule="auto"/>
              <w:rPr>
                <w:rFonts w:ascii="宋体" w:hAnsi="宋体" w:cs="宋体"/>
                <w:sz w:val="18"/>
                <w:szCs w:val="18"/>
              </w:rPr>
            </w:pPr>
            <w:r>
              <w:rPr>
                <w:rFonts w:hint="eastAsia" w:ascii="宋体" w:hAnsi="宋体" w:cs="宋体"/>
                <w:sz w:val="18"/>
                <w:szCs w:val="18"/>
              </w:rPr>
              <w:t>□初始开裂阶段  □加速变形阶段</w:t>
            </w:r>
          </w:p>
          <w:p w14:paraId="104A8878">
            <w:pPr>
              <w:spacing w:line="240" w:lineRule="auto"/>
              <w:rPr>
                <w:rFonts w:ascii="宋体" w:hAnsi="宋体" w:cs="宋体"/>
                <w:sz w:val="18"/>
                <w:szCs w:val="18"/>
              </w:rPr>
            </w:pPr>
            <w:r>
              <w:rPr>
                <w:rFonts w:hint="eastAsia" w:ascii="宋体" w:hAnsi="宋体" w:cs="宋体"/>
                <w:sz w:val="18"/>
                <w:szCs w:val="18"/>
              </w:rPr>
              <w:t>□破坏阶段      □休止阶段</w:t>
            </w:r>
          </w:p>
        </w:tc>
      </w:tr>
      <w:tr w14:paraId="771C5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7" w:hRule="atLeast"/>
        </w:trPr>
        <w:tc>
          <w:tcPr>
            <w:tcW w:w="1141" w:type="dxa"/>
            <w:vAlign w:val="center"/>
          </w:tcPr>
          <w:p w14:paraId="4D9FEDC0">
            <w:pPr>
              <w:spacing w:line="240" w:lineRule="auto"/>
              <w:jc w:val="center"/>
              <w:rPr>
                <w:rFonts w:ascii="宋体" w:hAnsi="宋体" w:cs="宋体"/>
                <w:sz w:val="18"/>
                <w:szCs w:val="18"/>
              </w:rPr>
            </w:pPr>
            <w:r>
              <w:rPr>
                <w:rFonts w:hint="eastAsia" w:ascii="宋体" w:hAnsi="宋体" w:cs="宋体"/>
                <w:sz w:val="18"/>
                <w:szCs w:val="18"/>
              </w:rPr>
              <w:t>崩塌源</w:t>
            </w:r>
          </w:p>
          <w:p w14:paraId="0B70CB40">
            <w:pPr>
              <w:spacing w:line="240" w:lineRule="auto"/>
              <w:jc w:val="center"/>
              <w:rPr>
                <w:rFonts w:ascii="宋体" w:hAnsi="宋体" w:cs="宋体"/>
                <w:sz w:val="18"/>
                <w:szCs w:val="18"/>
              </w:rPr>
            </w:pPr>
            <w:r>
              <w:rPr>
                <w:rFonts w:hint="eastAsia" w:ascii="宋体" w:hAnsi="宋体" w:cs="宋体"/>
                <w:sz w:val="18"/>
                <w:szCs w:val="18"/>
              </w:rPr>
              <w:t>扩展方式</w:t>
            </w:r>
          </w:p>
        </w:tc>
        <w:tc>
          <w:tcPr>
            <w:tcW w:w="3708" w:type="dxa"/>
            <w:gridSpan w:val="8"/>
            <w:vAlign w:val="center"/>
          </w:tcPr>
          <w:p w14:paraId="01320A54">
            <w:pPr>
              <w:spacing w:line="240" w:lineRule="auto"/>
              <w:rPr>
                <w:rFonts w:ascii="宋体" w:hAnsi="宋体" w:cs="宋体"/>
                <w:sz w:val="18"/>
                <w:szCs w:val="18"/>
              </w:rPr>
            </w:pPr>
            <w:r>
              <w:rPr>
                <w:rFonts w:hint="eastAsia" w:ascii="宋体" w:hAnsi="宋体" w:cs="宋体"/>
                <w:sz w:val="18"/>
                <w:szCs w:val="18"/>
              </w:rPr>
              <w:t xml:space="preserve">□向前推移  □向后扩展  □扩大型 </w:t>
            </w:r>
          </w:p>
          <w:p w14:paraId="77C2F534">
            <w:pPr>
              <w:spacing w:line="240" w:lineRule="auto"/>
              <w:rPr>
                <w:rFonts w:ascii="宋体" w:hAnsi="宋体" w:cs="宋体"/>
                <w:sz w:val="18"/>
                <w:szCs w:val="18"/>
              </w:rPr>
            </w:pPr>
            <w:r>
              <w:rPr>
                <w:rFonts w:hint="eastAsia" w:ascii="宋体" w:hAnsi="宋体" w:cs="宋体"/>
                <w:sz w:val="18"/>
                <w:szCs w:val="18"/>
              </w:rPr>
              <w:t>□缩减型    □约束型</w:t>
            </w:r>
          </w:p>
        </w:tc>
        <w:tc>
          <w:tcPr>
            <w:tcW w:w="1129" w:type="dxa"/>
            <w:gridSpan w:val="2"/>
            <w:vAlign w:val="center"/>
          </w:tcPr>
          <w:p w14:paraId="0D45D10B">
            <w:pPr>
              <w:spacing w:line="240" w:lineRule="auto"/>
              <w:jc w:val="center"/>
              <w:rPr>
                <w:rFonts w:ascii="宋体" w:hAnsi="宋体" w:cs="宋体"/>
                <w:sz w:val="18"/>
                <w:szCs w:val="18"/>
              </w:rPr>
            </w:pPr>
            <w:r>
              <w:rPr>
                <w:rFonts w:hint="eastAsia" w:ascii="宋体" w:hAnsi="宋体" w:cs="宋体"/>
                <w:sz w:val="18"/>
                <w:szCs w:val="18"/>
              </w:rPr>
              <w:t>崩塌时间</w:t>
            </w:r>
          </w:p>
        </w:tc>
        <w:tc>
          <w:tcPr>
            <w:tcW w:w="3678" w:type="dxa"/>
            <w:gridSpan w:val="6"/>
            <w:vAlign w:val="center"/>
          </w:tcPr>
          <w:p w14:paraId="4A714978">
            <w:pPr>
              <w:spacing w:line="240" w:lineRule="auto"/>
              <w:ind w:firstLine="720" w:firstLineChars="400"/>
              <w:rPr>
                <w:rFonts w:ascii="宋体" w:hAnsi="宋体" w:cs="宋体"/>
                <w:sz w:val="18"/>
                <w:szCs w:val="18"/>
              </w:rPr>
            </w:pPr>
            <w:r>
              <w:rPr>
                <w:rFonts w:hint="eastAsia" w:ascii="宋体" w:hAnsi="宋体" w:cs="宋体"/>
                <w:sz w:val="18"/>
                <w:szCs w:val="18"/>
              </w:rPr>
              <w:t xml:space="preserve">年   月   日   时   分  </w:t>
            </w:r>
            <w:r>
              <w:rPr>
                <w:rFonts w:ascii="Times New Roman" w:hAnsi="Times New Roman"/>
                <w:sz w:val="18"/>
                <w:szCs w:val="18"/>
              </w:rPr>
              <w:t>□不详</w:t>
            </w:r>
          </w:p>
        </w:tc>
      </w:tr>
      <w:tr w14:paraId="160B5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1613C282">
            <w:pPr>
              <w:spacing w:line="240" w:lineRule="auto"/>
              <w:jc w:val="center"/>
              <w:rPr>
                <w:rFonts w:ascii="宋体" w:hAnsi="宋体" w:cs="宋体"/>
                <w:sz w:val="18"/>
                <w:szCs w:val="18"/>
              </w:rPr>
            </w:pPr>
            <w:r>
              <w:rPr>
                <w:rFonts w:hint="eastAsia" w:ascii="宋体" w:hAnsi="宋体" w:cs="宋体"/>
                <w:sz w:val="18"/>
                <w:szCs w:val="18"/>
              </w:rPr>
              <w:t>主崩方向</w:t>
            </w:r>
          </w:p>
        </w:tc>
        <w:tc>
          <w:tcPr>
            <w:tcW w:w="1308" w:type="dxa"/>
            <w:vAlign w:val="center"/>
          </w:tcPr>
          <w:p w14:paraId="0F19AC27">
            <w:pPr>
              <w:spacing w:line="240" w:lineRule="auto"/>
              <w:jc w:val="center"/>
              <w:rPr>
                <w:rFonts w:ascii="宋体" w:hAnsi="宋体" w:cs="宋体"/>
                <w:sz w:val="18"/>
                <w:szCs w:val="18"/>
              </w:rPr>
            </w:pPr>
            <w:r>
              <w:rPr>
                <w:rFonts w:hint="eastAsia" w:ascii="宋体" w:hAnsi="宋体" w:cs="宋体"/>
                <w:sz w:val="18"/>
                <w:szCs w:val="18"/>
              </w:rPr>
              <w:t>崩塌源</w:t>
            </w:r>
          </w:p>
          <w:p w14:paraId="66EE0D1D">
            <w:pPr>
              <w:spacing w:line="240" w:lineRule="auto"/>
              <w:jc w:val="center"/>
              <w:rPr>
                <w:rFonts w:ascii="宋体" w:hAnsi="宋体" w:cs="宋体"/>
                <w:sz w:val="18"/>
                <w:szCs w:val="18"/>
              </w:rPr>
            </w:pPr>
            <w:r>
              <w:rPr>
                <w:rFonts w:hint="eastAsia" w:ascii="宋体" w:hAnsi="宋体" w:cs="宋体"/>
                <w:sz w:val="18"/>
                <w:szCs w:val="18"/>
              </w:rPr>
              <w:t>高程</w:t>
            </w:r>
          </w:p>
        </w:tc>
        <w:tc>
          <w:tcPr>
            <w:tcW w:w="1169" w:type="dxa"/>
            <w:gridSpan w:val="4"/>
            <w:vAlign w:val="center"/>
          </w:tcPr>
          <w:p w14:paraId="5579ED2C">
            <w:pPr>
              <w:spacing w:line="240" w:lineRule="auto"/>
              <w:jc w:val="center"/>
              <w:rPr>
                <w:rFonts w:ascii="宋体" w:hAnsi="宋体" w:cs="宋体"/>
                <w:sz w:val="18"/>
                <w:szCs w:val="18"/>
              </w:rPr>
            </w:pPr>
            <w:r>
              <w:rPr>
                <w:rFonts w:hint="eastAsia" w:ascii="宋体" w:hAnsi="宋体" w:cs="宋体"/>
                <w:sz w:val="18"/>
                <w:szCs w:val="18"/>
              </w:rPr>
              <w:t>最大落差</w:t>
            </w:r>
          </w:p>
        </w:tc>
        <w:tc>
          <w:tcPr>
            <w:tcW w:w="1231" w:type="dxa"/>
            <w:gridSpan w:val="3"/>
            <w:vAlign w:val="center"/>
          </w:tcPr>
          <w:p w14:paraId="418C9071">
            <w:pPr>
              <w:spacing w:line="240" w:lineRule="auto"/>
              <w:jc w:val="center"/>
              <w:rPr>
                <w:rFonts w:ascii="宋体" w:hAnsi="宋体" w:cs="宋体"/>
                <w:sz w:val="18"/>
                <w:szCs w:val="18"/>
              </w:rPr>
            </w:pPr>
            <w:r>
              <w:rPr>
                <w:rFonts w:hint="eastAsia" w:ascii="宋体" w:hAnsi="宋体" w:cs="宋体"/>
                <w:sz w:val="18"/>
                <w:szCs w:val="18"/>
              </w:rPr>
              <w:t>最大</w:t>
            </w:r>
          </w:p>
          <w:p w14:paraId="488E28A0">
            <w:pPr>
              <w:spacing w:line="240" w:lineRule="auto"/>
              <w:jc w:val="center"/>
              <w:rPr>
                <w:rFonts w:ascii="宋体" w:hAnsi="宋体" w:cs="宋体"/>
                <w:sz w:val="18"/>
                <w:szCs w:val="18"/>
              </w:rPr>
            </w:pPr>
            <w:r>
              <w:rPr>
                <w:rFonts w:hint="eastAsia" w:ascii="宋体" w:hAnsi="宋体" w:cs="宋体"/>
                <w:sz w:val="18"/>
                <w:szCs w:val="18"/>
              </w:rPr>
              <w:t>水平位移</w:t>
            </w:r>
          </w:p>
        </w:tc>
        <w:tc>
          <w:tcPr>
            <w:tcW w:w="1129" w:type="dxa"/>
            <w:gridSpan w:val="2"/>
            <w:vAlign w:val="center"/>
          </w:tcPr>
          <w:p w14:paraId="10B95958">
            <w:pPr>
              <w:spacing w:line="240" w:lineRule="auto"/>
              <w:jc w:val="center"/>
              <w:rPr>
                <w:rFonts w:ascii="宋体" w:hAnsi="宋体" w:cs="宋体"/>
                <w:sz w:val="18"/>
                <w:szCs w:val="18"/>
              </w:rPr>
            </w:pPr>
            <w:r>
              <w:rPr>
                <w:rFonts w:hint="eastAsia" w:ascii="宋体" w:hAnsi="宋体" w:cs="宋体"/>
                <w:sz w:val="18"/>
                <w:szCs w:val="18"/>
              </w:rPr>
              <w:t>崩塌源宽度</w:t>
            </w:r>
          </w:p>
        </w:tc>
        <w:tc>
          <w:tcPr>
            <w:tcW w:w="1281" w:type="dxa"/>
            <w:gridSpan w:val="2"/>
            <w:vAlign w:val="center"/>
          </w:tcPr>
          <w:p w14:paraId="31A548EE">
            <w:pPr>
              <w:spacing w:line="240" w:lineRule="auto"/>
              <w:jc w:val="center"/>
              <w:rPr>
                <w:rFonts w:ascii="宋体" w:hAnsi="宋体" w:cs="宋体"/>
                <w:sz w:val="18"/>
                <w:szCs w:val="18"/>
              </w:rPr>
            </w:pPr>
            <w:r>
              <w:rPr>
                <w:rFonts w:hint="eastAsia" w:ascii="宋体" w:hAnsi="宋体" w:cs="宋体"/>
                <w:sz w:val="18"/>
                <w:szCs w:val="18"/>
              </w:rPr>
              <w:t>崩塌源厚度</w:t>
            </w:r>
          </w:p>
        </w:tc>
        <w:tc>
          <w:tcPr>
            <w:tcW w:w="1214" w:type="dxa"/>
            <w:gridSpan w:val="3"/>
            <w:vAlign w:val="center"/>
          </w:tcPr>
          <w:p w14:paraId="2CEBA2A3">
            <w:pPr>
              <w:spacing w:line="240" w:lineRule="auto"/>
              <w:jc w:val="center"/>
              <w:rPr>
                <w:rFonts w:ascii="宋体" w:hAnsi="宋体" w:cs="宋体"/>
                <w:sz w:val="18"/>
                <w:szCs w:val="18"/>
              </w:rPr>
            </w:pPr>
            <w:r>
              <w:rPr>
                <w:rFonts w:hint="eastAsia" w:ascii="宋体" w:hAnsi="宋体" w:cs="宋体"/>
                <w:sz w:val="18"/>
                <w:szCs w:val="18"/>
              </w:rPr>
              <w:t>崩塌源面积</w:t>
            </w:r>
          </w:p>
        </w:tc>
        <w:tc>
          <w:tcPr>
            <w:tcW w:w="1183" w:type="dxa"/>
            <w:vAlign w:val="center"/>
          </w:tcPr>
          <w:p w14:paraId="66CB0853">
            <w:pPr>
              <w:spacing w:line="240" w:lineRule="auto"/>
              <w:jc w:val="center"/>
              <w:rPr>
                <w:rFonts w:ascii="宋体" w:hAnsi="宋体" w:cs="宋体"/>
                <w:sz w:val="18"/>
                <w:szCs w:val="18"/>
              </w:rPr>
            </w:pPr>
            <w:r>
              <w:rPr>
                <w:rFonts w:hint="eastAsia" w:ascii="宋体" w:hAnsi="宋体" w:cs="宋体"/>
                <w:sz w:val="18"/>
                <w:szCs w:val="18"/>
              </w:rPr>
              <w:t>崩塌源体积</w:t>
            </w:r>
          </w:p>
        </w:tc>
      </w:tr>
      <w:tr w14:paraId="4D031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4" w:hRule="atLeast"/>
        </w:trPr>
        <w:tc>
          <w:tcPr>
            <w:tcW w:w="1141" w:type="dxa"/>
            <w:vAlign w:val="center"/>
          </w:tcPr>
          <w:p w14:paraId="4B6656F2">
            <w:pPr>
              <w:spacing w:line="240" w:lineRule="auto"/>
              <w:jc w:val="right"/>
              <w:rPr>
                <w:rFonts w:ascii="宋体" w:hAnsi="宋体" w:cs="宋体"/>
                <w:sz w:val="18"/>
                <w:szCs w:val="18"/>
              </w:rPr>
            </w:pPr>
            <w:r>
              <w:rPr>
                <w:rFonts w:hint="eastAsia" w:ascii="宋体" w:hAnsi="宋体" w:cs="宋体"/>
                <w:sz w:val="18"/>
                <w:szCs w:val="18"/>
              </w:rPr>
              <w:t>°</w:t>
            </w:r>
          </w:p>
        </w:tc>
        <w:tc>
          <w:tcPr>
            <w:tcW w:w="1308" w:type="dxa"/>
            <w:vAlign w:val="center"/>
          </w:tcPr>
          <w:p w14:paraId="30226DF6">
            <w:pPr>
              <w:spacing w:line="240" w:lineRule="auto"/>
              <w:jc w:val="right"/>
              <w:rPr>
                <w:rFonts w:ascii="宋体" w:hAnsi="宋体" w:cs="宋体"/>
                <w:sz w:val="18"/>
                <w:szCs w:val="18"/>
              </w:rPr>
            </w:pPr>
            <w:r>
              <w:rPr>
                <w:rFonts w:hint="eastAsia" w:ascii="宋体" w:hAnsi="宋体" w:cs="宋体"/>
                <w:sz w:val="18"/>
                <w:szCs w:val="18"/>
              </w:rPr>
              <w:t>m</w:t>
            </w:r>
          </w:p>
        </w:tc>
        <w:tc>
          <w:tcPr>
            <w:tcW w:w="1169" w:type="dxa"/>
            <w:gridSpan w:val="4"/>
            <w:vAlign w:val="center"/>
          </w:tcPr>
          <w:p w14:paraId="33E14D5C">
            <w:pPr>
              <w:spacing w:line="240" w:lineRule="auto"/>
              <w:jc w:val="right"/>
              <w:rPr>
                <w:rFonts w:ascii="宋体" w:hAnsi="宋体" w:cs="宋体"/>
                <w:sz w:val="18"/>
                <w:szCs w:val="18"/>
              </w:rPr>
            </w:pPr>
            <w:r>
              <w:rPr>
                <w:rFonts w:hint="eastAsia" w:ascii="宋体" w:hAnsi="宋体" w:cs="宋体"/>
                <w:sz w:val="18"/>
                <w:szCs w:val="18"/>
              </w:rPr>
              <w:t>m</w:t>
            </w:r>
          </w:p>
        </w:tc>
        <w:tc>
          <w:tcPr>
            <w:tcW w:w="1231" w:type="dxa"/>
            <w:gridSpan w:val="3"/>
            <w:vAlign w:val="center"/>
          </w:tcPr>
          <w:p w14:paraId="656197D7">
            <w:pPr>
              <w:spacing w:line="240" w:lineRule="auto"/>
              <w:jc w:val="right"/>
              <w:rPr>
                <w:rFonts w:ascii="宋体" w:hAnsi="宋体" w:cs="宋体"/>
                <w:sz w:val="18"/>
                <w:szCs w:val="18"/>
              </w:rPr>
            </w:pPr>
            <w:r>
              <w:rPr>
                <w:rFonts w:hint="eastAsia" w:ascii="宋体" w:hAnsi="宋体" w:cs="宋体"/>
                <w:sz w:val="18"/>
                <w:szCs w:val="18"/>
              </w:rPr>
              <w:t>m</w:t>
            </w:r>
          </w:p>
        </w:tc>
        <w:tc>
          <w:tcPr>
            <w:tcW w:w="1129" w:type="dxa"/>
            <w:gridSpan w:val="2"/>
            <w:vAlign w:val="center"/>
          </w:tcPr>
          <w:p w14:paraId="6C0AEFA4">
            <w:pPr>
              <w:spacing w:line="240" w:lineRule="auto"/>
              <w:jc w:val="right"/>
              <w:rPr>
                <w:rFonts w:ascii="宋体" w:hAnsi="宋体" w:cs="宋体"/>
                <w:sz w:val="18"/>
                <w:szCs w:val="18"/>
              </w:rPr>
            </w:pPr>
            <w:r>
              <w:rPr>
                <w:rFonts w:hint="eastAsia" w:ascii="宋体" w:hAnsi="宋体" w:cs="宋体"/>
                <w:sz w:val="18"/>
                <w:szCs w:val="18"/>
              </w:rPr>
              <w:t>m</w:t>
            </w:r>
          </w:p>
        </w:tc>
        <w:tc>
          <w:tcPr>
            <w:tcW w:w="1281" w:type="dxa"/>
            <w:gridSpan w:val="2"/>
            <w:vAlign w:val="center"/>
          </w:tcPr>
          <w:p w14:paraId="7A984CED">
            <w:pPr>
              <w:spacing w:line="240" w:lineRule="auto"/>
              <w:jc w:val="right"/>
              <w:rPr>
                <w:rFonts w:ascii="宋体" w:hAnsi="宋体" w:cs="宋体"/>
                <w:sz w:val="18"/>
                <w:szCs w:val="18"/>
              </w:rPr>
            </w:pPr>
            <w:r>
              <w:rPr>
                <w:rFonts w:hint="eastAsia" w:ascii="宋体" w:hAnsi="宋体" w:cs="宋体"/>
                <w:sz w:val="18"/>
                <w:szCs w:val="18"/>
              </w:rPr>
              <w:t>m</w:t>
            </w:r>
          </w:p>
        </w:tc>
        <w:tc>
          <w:tcPr>
            <w:tcW w:w="1214" w:type="dxa"/>
            <w:gridSpan w:val="3"/>
            <w:vAlign w:val="center"/>
          </w:tcPr>
          <w:p w14:paraId="3FCC2519">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c>
          <w:tcPr>
            <w:tcW w:w="1183" w:type="dxa"/>
            <w:vAlign w:val="center"/>
          </w:tcPr>
          <w:p w14:paraId="15B7F372">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3</w:t>
            </w:r>
          </w:p>
        </w:tc>
      </w:tr>
      <w:tr w14:paraId="35E68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trPr>
        <w:tc>
          <w:tcPr>
            <w:tcW w:w="1141" w:type="dxa"/>
            <w:vAlign w:val="center"/>
          </w:tcPr>
          <w:p w14:paraId="0B377BFA">
            <w:pPr>
              <w:spacing w:line="240" w:lineRule="auto"/>
              <w:jc w:val="center"/>
              <w:rPr>
                <w:rFonts w:ascii="宋体" w:hAnsi="宋体" w:cs="宋体"/>
                <w:sz w:val="18"/>
                <w:szCs w:val="18"/>
              </w:rPr>
            </w:pPr>
            <w:r>
              <w:rPr>
                <w:rFonts w:hint="eastAsia" w:ascii="宋体" w:hAnsi="宋体" w:cs="宋体"/>
                <w:sz w:val="18"/>
                <w:szCs w:val="18"/>
              </w:rPr>
              <w:t>产状</w:t>
            </w:r>
          </w:p>
        </w:tc>
        <w:tc>
          <w:tcPr>
            <w:tcW w:w="1871" w:type="dxa"/>
            <w:gridSpan w:val="2"/>
            <w:vAlign w:val="center"/>
          </w:tcPr>
          <w:p w14:paraId="6A9BD061">
            <w:pPr>
              <w:spacing w:line="240" w:lineRule="auto"/>
              <w:jc w:val="center"/>
              <w:rPr>
                <w:rFonts w:ascii="宋体" w:hAnsi="宋体" w:cs="宋体"/>
                <w:sz w:val="18"/>
                <w:szCs w:val="18"/>
              </w:rPr>
            </w:pPr>
            <w:r>
              <w:rPr>
                <w:rFonts w:hint="eastAsia" w:ascii="宋体" w:hAnsi="宋体" w:cs="宋体"/>
                <w:sz w:val="18"/>
                <w:szCs w:val="18"/>
              </w:rPr>
              <w:t>倾向（°）</w:t>
            </w:r>
          </w:p>
        </w:tc>
        <w:tc>
          <w:tcPr>
            <w:tcW w:w="1837" w:type="dxa"/>
            <w:gridSpan w:val="6"/>
            <w:vAlign w:val="center"/>
          </w:tcPr>
          <w:p w14:paraId="7695F9AB">
            <w:pPr>
              <w:spacing w:line="240" w:lineRule="auto"/>
              <w:jc w:val="center"/>
              <w:rPr>
                <w:rFonts w:ascii="宋体" w:hAnsi="宋体" w:cs="宋体"/>
                <w:sz w:val="18"/>
                <w:szCs w:val="18"/>
              </w:rPr>
            </w:pPr>
            <w:r>
              <w:rPr>
                <w:rFonts w:hint="eastAsia" w:ascii="宋体" w:hAnsi="宋体" w:cs="宋体"/>
                <w:sz w:val="18"/>
                <w:szCs w:val="18"/>
              </w:rPr>
              <w:t>倾角（°）</w:t>
            </w:r>
          </w:p>
        </w:tc>
        <w:tc>
          <w:tcPr>
            <w:tcW w:w="1129" w:type="dxa"/>
            <w:gridSpan w:val="2"/>
            <w:vMerge w:val="restart"/>
            <w:vAlign w:val="center"/>
          </w:tcPr>
          <w:p w14:paraId="72980C8E">
            <w:pPr>
              <w:spacing w:line="240" w:lineRule="auto"/>
              <w:jc w:val="center"/>
              <w:rPr>
                <w:rFonts w:ascii="宋体" w:hAnsi="宋体" w:cs="宋体"/>
                <w:sz w:val="18"/>
                <w:szCs w:val="18"/>
              </w:rPr>
            </w:pPr>
            <w:r>
              <w:rPr>
                <w:rFonts w:hint="eastAsia" w:ascii="宋体" w:hAnsi="宋体" w:cs="宋体"/>
                <w:sz w:val="18"/>
                <w:szCs w:val="18"/>
              </w:rPr>
              <w:t>节理裂隙</w:t>
            </w:r>
          </w:p>
        </w:tc>
        <w:tc>
          <w:tcPr>
            <w:tcW w:w="1839" w:type="dxa"/>
            <w:gridSpan w:val="4"/>
            <w:vAlign w:val="center"/>
          </w:tcPr>
          <w:p w14:paraId="4E26921B">
            <w:pPr>
              <w:spacing w:line="240" w:lineRule="auto"/>
              <w:jc w:val="center"/>
              <w:rPr>
                <w:rFonts w:ascii="宋体" w:hAnsi="宋体" w:cs="宋体"/>
                <w:sz w:val="18"/>
                <w:szCs w:val="18"/>
              </w:rPr>
            </w:pPr>
            <w:r>
              <w:rPr>
                <w:rFonts w:hint="eastAsia" w:ascii="宋体" w:hAnsi="宋体" w:cs="宋体"/>
                <w:sz w:val="18"/>
                <w:szCs w:val="18"/>
              </w:rPr>
              <w:t>倾向（°）</w:t>
            </w:r>
          </w:p>
        </w:tc>
        <w:tc>
          <w:tcPr>
            <w:tcW w:w="1839" w:type="dxa"/>
            <w:gridSpan w:val="2"/>
            <w:vAlign w:val="center"/>
          </w:tcPr>
          <w:p w14:paraId="38BFECA7">
            <w:pPr>
              <w:spacing w:line="240" w:lineRule="auto"/>
              <w:jc w:val="right"/>
              <w:rPr>
                <w:rFonts w:ascii="宋体" w:hAnsi="宋体" w:cs="宋体"/>
                <w:sz w:val="18"/>
                <w:szCs w:val="18"/>
              </w:rPr>
            </w:pPr>
            <w:r>
              <w:rPr>
                <w:rFonts w:hint="eastAsia" w:ascii="宋体" w:hAnsi="宋体" w:cs="宋体"/>
                <w:sz w:val="18"/>
                <w:szCs w:val="18"/>
              </w:rPr>
              <w:t>倾角（°）</w:t>
            </w:r>
          </w:p>
        </w:tc>
      </w:tr>
      <w:tr w14:paraId="09B37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trPr>
        <w:tc>
          <w:tcPr>
            <w:tcW w:w="1141" w:type="dxa"/>
            <w:vAlign w:val="center"/>
          </w:tcPr>
          <w:p w14:paraId="684EB895">
            <w:pPr>
              <w:spacing w:line="240" w:lineRule="auto"/>
              <w:jc w:val="center"/>
              <w:rPr>
                <w:rFonts w:ascii="宋体" w:hAnsi="宋体" w:cs="宋体"/>
                <w:sz w:val="18"/>
                <w:szCs w:val="18"/>
              </w:rPr>
            </w:pPr>
            <w:r>
              <w:rPr>
                <w:rFonts w:hint="eastAsia" w:ascii="宋体" w:hAnsi="宋体" w:cs="宋体"/>
                <w:sz w:val="18"/>
                <w:szCs w:val="18"/>
              </w:rPr>
              <w:t>岩层</w:t>
            </w:r>
          </w:p>
        </w:tc>
        <w:tc>
          <w:tcPr>
            <w:tcW w:w="1871" w:type="dxa"/>
            <w:gridSpan w:val="2"/>
            <w:vAlign w:val="center"/>
          </w:tcPr>
          <w:p w14:paraId="2F0C11BC">
            <w:pPr>
              <w:spacing w:line="240" w:lineRule="auto"/>
              <w:jc w:val="right"/>
              <w:rPr>
                <w:rFonts w:ascii="宋体" w:hAnsi="宋体" w:cs="宋体"/>
                <w:sz w:val="18"/>
                <w:szCs w:val="18"/>
              </w:rPr>
            </w:pPr>
          </w:p>
        </w:tc>
        <w:tc>
          <w:tcPr>
            <w:tcW w:w="1837" w:type="dxa"/>
            <w:gridSpan w:val="6"/>
            <w:vAlign w:val="center"/>
          </w:tcPr>
          <w:p w14:paraId="7D111875">
            <w:pPr>
              <w:spacing w:line="240" w:lineRule="auto"/>
              <w:jc w:val="right"/>
              <w:rPr>
                <w:rFonts w:ascii="宋体" w:hAnsi="宋体" w:cs="宋体"/>
                <w:sz w:val="18"/>
                <w:szCs w:val="18"/>
              </w:rPr>
            </w:pPr>
          </w:p>
        </w:tc>
        <w:tc>
          <w:tcPr>
            <w:tcW w:w="1129" w:type="dxa"/>
            <w:gridSpan w:val="2"/>
            <w:vMerge w:val="continue"/>
            <w:vAlign w:val="center"/>
          </w:tcPr>
          <w:p w14:paraId="13E4456E">
            <w:pPr>
              <w:spacing w:line="240" w:lineRule="auto"/>
              <w:jc w:val="right"/>
              <w:rPr>
                <w:rFonts w:ascii="宋体" w:hAnsi="宋体" w:cs="宋体"/>
                <w:sz w:val="18"/>
                <w:szCs w:val="18"/>
              </w:rPr>
            </w:pPr>
          </w:p>
        </w:tc>
        <w:tc>
          <w:tcPr>
            <w:tcW w:w="1839" w:type="dxa"/>
            <w:gridSpan w:val="4"/>
            <w:vAlign w:val="center"/>
          </w:tcPr>
          <w:p w14:paraId="3748496E">
            <w:pPr>
              <w:spacing w:line="240" w:lineRule="auto"/>
              <w:jc w:val="right"/>
              <w:rPr>
                <w:rFonts w:ascii="宋体" w:hAnsi="宋体" w:cs="宋体"/>
                <w:sz w:val="18"/>
                <w:szCs w:val="18"/>
              </w:rPr>
            </w:pPr>
          </w:p>
        </w:tc>
        <w:tc>
          <w:tcPr>
            <w:tcW w:w="1839" w:type="dxa"/>
            <w:gridSpan w:val="2"/>
            <w:vAlign w:val="center"/>
          </w:tcPr>
          <w:p w14:paraId="6B35CAD7">
            <w:pPr>
              <w:spacing w:line="240" w:lineRule="auto"/>
              <w:jc w:val="right"/>
              <w:rPr>
                <w:rFonts w:ascii="宋体" w:hAnsi="宋体" w:cs="宋体"/>
                <w:sz w:val="18"/>
                <w:szCs w:val="18"/>
              </w:rPr>
            </w:pPr>
          </w:p>
        </w:tc>
      </w:tr>
      <w:tr w14:paraId="6594E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trPr>
        <w:tc>
          <w:tcPr>
            <w:tcW w:w="1141" w:type="dxa"/>
            <w:vMerge w:val="restart"/>
            <w:vAlign w:val="center"/>
          </w:tcPr>
          <w:p w14:paraId="45039632">
            <w:pPr>
              <w:spacing w:line="240" w:lineRule="auto"/>
              <w:jc w:val="center"/>
              <w:rPr>
                <w:rFonts w:ascii="宋体" w:hAnsi="宋体" w:cs="宋体"/>
                <w:sz w:val="18"/>
                <w:szCs w:val="18"/>
              </w:rPr>
            </w:pPr>
            <w:r>
              <w:rPr>
                <w:rFonts w:hint="eastAsia" w:ascii="宋体" w:hAnsi="宋体" w:cs="宋体"/>
                <w:sz w:val="18"/>
                <w:szCs w:val="18"/>
              </w:rPr>
              <w:t>断裂</w:t>
            </w:r>
          </w:p>
        </w:tc>
        <w:tc>
          <w:tcPr>
            <w:tcW w:w="1871" w:type="dxa"/>
            <w:gridSpan w:val="2"/>
            <w:vAlign w:val="center"/>
          </w:tcPr>
          <w:p w14:paraId="35A5CE49">
            <w:pPr>
              <w:spacing w:line="240" w:lineRule="auto"/>
              <w:jc w:val="right"/>
              <w:rPr>
                <w:rFonts w:ascii="宋体" w:hAnsi="宋体" w:cs="宋体"/>
                <w:sz w:val="18"/>
                <w:szCs w:val="18"/>
              </w:rPr>
            </w:pPr>
          </w:p>
        </w:tc>
        <w:tc>
          <w:tcPr>
            <w:tcW w:w="1837" w:type="dxa"/>
            <w:gridSpan w:val="6"/>
            <w:vAlign w:val="center"/>
          </w:tcPr>
          <w:p w14:paraId="34E7A35B">
            <w:pPr>
              <w:spacing w:line="240" w:lineRule="auto"/>
              <w:jc w:val="right"/>
              <w:rPr>
                <w:rFonts w:ascii="宋体" w:hAnsi="宋体" w:cs="宋体"/>
                <w:sz w:val="18"/>
                <w:szCs w:val="18"/>
              </w:rPr>
            </w:pPr>
          </w:p>
        </w:tc>
        <w:tc>
          <w:tcPr>
            <w:tcW w:w="1129" w:type="dxa"/>
            <w:gridSpan w:val="2"/>
            <w:vMerge w:val="continue"/>
            <w:vAlign w:val="center"/>
          </w:tcPr>
          <w:p w14:paraId="3572B5EC">
            <w:pPr>
              <w:spacing w:line="240" w:lineRule="auto"/>
              <w:jc w:val="right"/>
              <w:rPr>
                <w:rFonts w:ascii="宋体" w:hAnsi="宋体" w:cs="宋体"/>
                <w:sz w:val="18"/>
                <w:szCs w:val="18"/>
              </w:rPr>
            </w:pPr>
          </w:p>
        </w:tc>
        <w:tc>
          <w:tcPr>
            <w:tcW w:w="1839" w:type="dxa"/>
            <w:gridSpan w:val="4"/>
            <w:vAlign w:val="center"/>
          </w:tcPr>
          <w:p w14:paraId="0CB9ECBD">
            <w:pPr>
              <w:spacing w:line="240" w:lineRule="auto"/>
              <w:jc w:val="right"/>
              <w:rPr>
                <w:rFonts w:ascii="宋体" w:hAnsi="宋体" w:cs="宋体"/>
                <w:sz w:val="18"/>
                <w:szCs w:val="18"/>
              </w:rPr>
            </w:pPr>
          </w:p>
        </w:tc>
        <w:tc>
          <w:tcPr>
            <w:tcW w:w="1839" w:type="dxa"/>
            <w:gridSpan w:val="2"/>
            <w:vAlign w:val="center"/>
          </w:tcPr>
          <w:p w14:paraId="53BBC582">
            <w:pPr>
              <w:spacing w:line="240" w:lineRule="auto"/>
              <w:jc w:val="right"/>
              <w:rPr>
                <w:rFonts w:ascii="宋体" w:hAnsi="宋体" w:cs="宋体"/>
                <w:sz w:val="18"/>
                <w:szCs w:val="18"/>
              </w:rPr>
            </w:pPr>
          </w:p>
        </w:tc>
      </w:tr>
      <w:tr w14:paraId="066CC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trPr>
        <w:tc>
          <w:tcPr>
            <w:tcW w:w="1141" w:type="dxa"/>
            <w:vMerge w:val="continue"/>
            <w:vAlign w:val="center"/>
          </w:tcPr>
          <w:p w14:paraId="1C116E70">
            <w:pPr>
              <w:spacing w:line="240" w:lineRule="auto"/>
              <w:jc w:val="center"/>
              <w:rPr>
                <w:rFonts w:ascii="宋体" w:hAnsi="宋体" w:cs="宋体"/>
                <w:sz w:val="18"/>
                <w:szCs w:val="18"/>
              </w:rPr>
            </w:pPr>
          </w:p>
        </w:tc>
        <w:tc>
          <w:tcPr>
            <w:tcW w:w="1871" w:type="dxa"/>
            <w:gridSpan w:val="2"/>
            <w:vAlign w:val="center"/>
          </w:tcPr>
          <w:p w14:paraId="63C67768">
            <w:pPr>
              <w:spacing w:line="240" w:lineRule="auto"/>
              <w:jc w:val="right"/>
              <w:rPr>
                <w:rFonts w:ascii="宋体" w:hAnsi="宋体" w:cs="宋体"/>
                <w:sz w:val="18"/>
                <w:szCs w:val="18"/>
              </w:rPr>
            </w:pPr>
          </w:p>
        </w:tc>
        <w:tc>
          <w:tcPr>
            <w:tcW w:w="1837" w:type="dxa"/>
            <w:gridSpan w:val="6"/>
            <w:vAlign w:val="center"/>
          </w:tcPr>
          <w:p w14:paraId="4FDFBDE0">
            <w:pPr>
              <w:spacing w:line="240" w:lineRule="auto"/>
              <w:jc w:val="right"/>
              <w:rPr>
                <w:rFonts w:ascii="宋体" w:hAnsi="宋体" w:cs="宋体"/>
                <w:sz w:val="18"/>
                <w:szCs w:val="18"/>
              </w:rPr>
            </w:pPr>
          </w:p>
        </w:tc>
        <w:tc>
          <w:tcPr>
            <w:tcW w:w="1129" w:type="dxa"/>
            <w:gridSpan w:val="2"/>
            <w:vMerge w:val="continue"/>
            <w:vAlign w:val="center"/>
          </w:tcPr>
          <w:p w14:paraId="55842632">
            <w:pPr>
              <w:spacing w:line="240" w:lineRule="auto"/>
              <w:jc w:val="right"/>
              <w:rPr>
                <w:rFonts w:ascii="宋体" w:hAnsi="宋体" w:cs="宋体"/>
                <w:sz w:val="18"/>
                <w:szCs w:val="18"/>
              </w:rPr>
            </w:pPr>
          </w:p>
        </w:tc>
        <w:tc>
          <w:tcPr>
            <w:tcW w:w="1839" w:type="dxa"/>
            <w:gridSpan w:val="4"/>
            <w:vAlign w:val="center"/>
          </w:tcPr>
          <w:p w14:paraId="49BA349D">
            <w:pPr>
              <w:spacing w:line="240" w:lineRule="auto"/>
              <w:jc w:val="right"/>
              <w:rPr>
                <w:rFonts w:ascii="宋体" w:hAnsi="宋体" w:cs="宋体"/>
                <w:sz w:val="18"/>
                <w:szCs w:val="18"/>
              </w:rPr>
            </w:pPr>
          </w:p>
        </w:tc>
        <w:tc>
          <w:tcPr>
            <w:tcW w:w="1839" w:type="dxa"/>
            <w:gridSpan w:val="2"/>
            <w:vAlign w:val="center"/>
          </w:tcPr>
          <w:p w14:paraId="07814CD2">
            <w:pPr>
              <w:spacing w:line="240" w:lineRule="auto"/>
              <w:jc w:val="right"/>
              <w:rPr>
                <w:rFonts w:ascii="宋体" w:hAnsi="宋体" w:cs="宋体"/>
                <w:sz w:val="18"/>
                <w:szCs w:val="18"/>
              </w:rPr>
            </w:pPr>
          </w:p>
        </w:tc>
      </w:tr>
      <w:tr w14:paraId="6934E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1674D929">
            <w:pPr>
              <w:spacing w:line="240" w:lineRule="auto"/>
              <w:jc w:val="center"/>
              <w:rPr>
                <w:rFonts w:ascii="宋体" w:hAnsi="宋体" w:cs="宋体"/>
                <w:sz w:val="18"/>
                <w:szCs w:val="18"/>
              </w:rPr>
            </w:pPr>
            <w:r>
              <w:rPr>
                <w:rFonts w:hint="eastAsia" w:ascii="宋体" w:hAnsi="宋体" w:cs="宋体"/>
                <w:sz w:val="18"/>
                <w:szCs w:val="18"/>
              </w:rPr>
              <w:t>诱发因素</w:t>
            </w:r>
          </w:p>
        </w:tc>
        <w:tc>
          <w:tcPr>
            <w:tcW w:w="8515" w:type="dxa"/>
            <w:gridSpan w:val="16"/>
            <w:vAlign w:val="center"/>
          </w:tcPr>
          <w:p w14:paraId="1BBBC979">
            <w:pPr>
              <w:spacing w:line="240" w:lineRule="auto"/>
              <w:rPr>
                <w:rFonts w:ascii="宋体" w:hAnsi="宋体" w:cs="宋体"/>
                <w:sz w:val="18"/>
                <w:szCs w:val="18"/>
              </w:rPr>
            </w:pPr>
            <w:r>
              <w:rPr>
                <w:rFonts w:hint="eastAsia" w:ascii="宋体" w:hAnsi="宋体" w:cs="宋体"/>
                <w:sz w:val="18"/>
                <w:szCs w:val="18"/>
              </w:rPr>
              <w:t xml:space="preserve">□降雨  □地震  □侵蚀  □冻融  □切坡  □加载  </w:t>
            </w:r>
          </w:p>
          <w:p w14:paraId="0E2CD6B1">
            <w:pPr>
              <w:spacing w:line="240" w:lineRule="auto"/>
              <w:rPr>
                <w:rFonts w:ascii="宋体" w:hAnsi="宋体" w:cs="宋体"/>
                <w:sz w:val="18"/>
                <w:szCs w:val="18"/>
              </w:rPr>
            </w:pPr>
            <w:r>
              <w:rPr>
                <w:rFonts w:hint="eastAsia" w:ascii="宋体" w:hAnsi="宋体" w:cs="宋体"/>
                <w:sz w:val="18"/>
                <w:szCs w:val="18"/>
              </w:rPr>
              <w:t>□水事活动  □地下采掘  □其他：</w:t>
            </w:r>
            <w:r>
              <w:rPr>
                <w:rFonts w:hint="eastAsia" w:ascii="宋体" w:hAnsi="宋体" w:cs="宋体"/>
                <w:sz w:val="18"/>
                <w:szCs w:val="18"/>
                <w:u w:val="single"/>
              </w:rPr>
              <w:t xml:space="preserve">              </w:t>
            </w:r>
          </w:p>
        </w:tc>
      </w:tr>
      <w:tr w14:paraId="671D8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2E60527F">
            <w:pPr>
              <w:spacing w:line="240" w:lineRule="auto"/>
              <w:jc w:val="center"/>
              <w:rPr>
                <w:rFonts w:ascii="宋体" w:hAnsi="宋体" w:cs="宋体"/>
                <w:sz w:val="18"/>
                <w:szCs w:val="18"/>
              </w:rPr>
            </w:pPr>
            <w:r>
              <w:rPr>
                <w:rFonts w:hint="eastAsia" w:ascii="宋体" w:hAnsi="宋体" w:cs="宋体"/>
                <w:sz w:val="18"/>
                <w:szCs w:val="18"/>
              </w:rPr>
              <w:t>堆积体</w:t>
            </w:r>
          </w:p>
          <w:p w14:paraId="40498DA1">
            <w:pPr>
              <w:spacing w:line="240" w:lineRule="auto"/>
              <w:jc w:val="center"/>
              <w:rPr>
                <w:rFonts w:ascii="宋体" w:hAnsi="宋体" w:cs="宋体"/>
                <w:sz w:val="18"/>
                <w:szCs w:val="18"/>
              </w:rPr>
            </w:pPr>
            <w:r>
              <w:rPr>
                <w:rFonts w:hint="eastAsia" w:ascii="宋体" w:hAnsi="宋体" w:cs="宋体"/>
                <w:sz w:val="18"/>
                <w:szCs w:val="18"/>
              </w:rPr>
              <w:t>平均厚度</w:t>
            </w:r>
          </w:p>
        </w:tc>
        <w:tc>
          <w:tcPr>
            <w:tcW w:w="1308" w:type="dxa"/>
            <w:vAlign w:val="center"/>
          </w:tcPr>
          <w:p w14:paraId="60CB3BDE">
            <w:pPr>
              <w:spacing w:line="240" w:lineRule="auto"/>
              <w:jc w:val="center"/>
              <w:rPr>
                <w:rFonts w:ascii="宋体" w:hAnsi="宋体" w:cs="宋体"/>
                <w:sz w:val="18"/>
                <w:szCs w:val="18"/>
              </w:rPr>
            </w:pPr>
            <w:r>
              <w:rPr>
                <w:rFonts w:hint="eastAsia" w:ascii="宋体" w:hAnsi="宋体" w:cs="宋体"/>
                <w:sz w:val="18"/>
                <w:szCs w:val="18"/>
              </w:rPr>
              <w:t>堆积体</w:t>
            </w:r>
          </w:p>
          <w:p w14:paraId="6FC4A071">
            <w:pPr>
              <w:spacing w:line="240" w:lineRule="auto"/>
              <w:jc w:val="center"/>
              <w:rPr>
                <w:rFonts w:ascii="宋体" w:hAnsi="宋体" w:cs="宋体"/>
                <w:sz w:val="18"/>
                <w:szCs w:val="18"/>
              </w:rPr>
            </w:pPr>
            <w:r>
              <w:rPr>
                <w:rFonts w:hint="eastAsia" w:ascii="宋体" w:hAnsi="宋体" w:cs="宋体"/>
                <w:sz w:val="18"/>
                <w:szCs w:val="18"/>
              </w:rPr>
              <w:t>面积</w:t>
            </w:r>
          </w:p>
        </w:tc>
        <w:tc>
          <w:tcPr>
            <w:tcW w:w="1152" w:type="dxa"/>
            <w:gridSpan w:val="3"/>
            <w:vAlign w:val="center"/>
          </w:tcPr>
          <w:p w14:paraId="654C055C">
            <w:pPr>
              <w:spacing w:line="240" w:lineRule="auto"/>
              <w:jc w:val="center"/>
              <w:rPr>
                <w:rFonts w:ascii="宋体" w:hAnsi="宋体" w:cs="宋体"/>
                <w:sz w:val="18"/>
                <w:szCs w:val="18"/>
              </w:rPr>
            </w:pPr>
            <w:r>
              <w:rPr>
                <w:rFonts w:hint="eastAsia" w:ascii="宋体" w:hAnsi="宋体" w:cs="宋体"/>
                <w:sz w:val="18"/>
                <w:szCs w:val="18"/>
              </w:rPr>
              <w:t>堆积体</w:t>
            </w:r>
          </w:p>
          <w:p w14:paraId="3076936F">
            <w:pPr>
              <w:spacing w:line="240" w:lineRule="auto"/>
              <w:jc w:val="center"/>
              <w:rPr>
                <w:rFonts w:ascii="宋体" w:hAnsi="宋体" w:cs="宋体"/>
                <w:sz w:val="18"/>
                <w:szCs w:val="18"/>
              </w:rPr>
            </w:pPr>
            <w:r>
              <w:rPr>
                <w:rFonts w:hint="eastAsia" w:ascii="宋体" w:hAnsi="宋体" w:cs="宋体"/>
                <w:sz w:val="18"/>
                <w:szCs w:val="18"/>
              </w:rPr>
              <w:t>体积</w:t>
            </w:r>
          </w:p>
        </w:tc>
        <w:tc>
          <w:tcPr>
            <w:tcW w:w="1248" w:type="dxa"/>
            <w:gridSpan w:val="4"/>
            <w:vAlign w:val="center"/>
          </w:tcPr>
          <w:p w14:paraId="5002CA36">
            <w:pPr>
              <w:spacing w:line="240" w:lineRule="auto"/>
              <w:jc w:val="center"/>
              <w:rPr>
                <w:rFonts w:ascii="宋体" w:hAnsi="宋体" w:cs="宋体"/>
                <w:sz w:val="18"/>
                <w:szCs w:val="18"/>
              </w:rPr>
            </w:pPr>
            <w:r>
              <w:rPr>
                <w:rFonts w:hint="eastAsia" w:ascii="宋体" w:hAnsi="宋体" w:cs="宋体"/>
                <w:sz w:val="18"/>
                <w:szCs w:val="18"/>
              </w:rPr>
              <w:t>最远落石距离</w:t>
            </w:r>
          </w:p>
        </w:tc>
        <w:tc>
          <w:tcPr>
            <w:tcW w:w="1613" w:type="dxa"/>
            <w:gridSpan w:val="3"/>
            <w:vAlign w:val="center"/>
          </w:tcPr>
          <w:p w14:paraId="16145F00">
            <w:pPr>
              <w:spacing w:line="240" w:lineRule="auto"/>
              <w:jc w:val="center"/>
              <w:rPr>
                <w:rFonts w:ascii="宋体" w:hAnsi="宋体" w:cs="宋体"/>
                <w:sz w:val="18"/>
                <w:szCs w:val="18"/>
              </w:rPr>
            </w:pPr>
            <w:r>
              <w:rPr>
                <w:rFonts w:hint="eastAsia" w:ascii="宋体" w:hAnsi="宋体" w:cs="宋体"/>
                <w:sz w:val="18"/>
                <w:szCs w:val="18"/>
              </w:rPr>
              <w:t>规模等级</w:t>
            </w:r>
          </w:p>
        </w:tc>
        <w:tc>
          <w:tcPr>
            <w:tcW w:w="3194" w:type="dxa"/>
            <w:gridSpan w:val="5"/>
            <w:vAlign w:val="center"/>
          </w:tcPr>
          <w:p w14:paraId="268D2D43">
            <w:pPr>
              <w:spacing w:line="240" w:lineRule="auto"/>
              <w:ind w:firstLine="360" w:firstLineChars="200"/>
              <w:rPr>
                <w:rFonts w:ascii="宋体" w:hAnsi="宋体" w:cs="宋体"/>
                <w:sz w:val="18"/>
                <w:szCs w:val="18"/>
              </w:rPr>
            </w:pPr>
            <w:r>
              <w:rPr>
                <w:rFonts w:hint="eastAsia" w:ascii="宋体" w:hAnsi="宋体" w:cs="宋体"/>
                <w:sz w:val="18"/>
                <w:szCs w:val="18"/>
              </w:rPr>
              <w:t>□巨型   □特大型  □大型</w:t>
            </w:r>
          </w:p>
          <w:p w14:paraId="110E27E7">
            <w:pPr>
              <w:spacing w:line="240" w:lineRule="auto"/>
              <w:jc w:val="center"/>
              <w:rPr>
                <w:rFonts w:ascii="宋体" w:hAnsi="宋体" w:cs="宋体"/>
                <w:sz w:val="18"/>
                <w:szCs w:val="18"/>
              </w:rPr>
            </w:pPr>
            <w:r>
              <w:rPr>
                <w:rFonts w:hint="eastAsia" w:ascii="宋体" w:hAnsi="宋体" w:cs="宋体"/>
                <w:sz w:val="18"/>
                <w:szCs w:val="18"/>
              </w:rPr>
              <w:t>□中型   □小型</w:t>
            </w:r>
          </w:p>
        </w:tc>
      </w:tr>
      <w:tr w14:paraId="76A14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7262130A">
            <w:pPr>
              <w:spacing w:line="240" w:lineRule="auto"/>
              <w:jc w:val="right"/>
              <w:rPr>
                <w:rFonts w:ascii="宋体" w:hAnsi="宋体" w:cs="宋体"/>
                <w:sz w:val="18"/>
                <w:szCs w:val="18"/>
              </w:rPr>
            </w:pPr>
            <w:r>
              <w:rPr>
                <w:rFonts w:hint="eastAsia" w:ascii="宋体" w:hAnsi="宋体" w:cs="宋体"/>
                <w:sz w:val="18"/>
                <w:szCs w:val="18"/>
              </w:rPr>
              <w:t>m</w:t>
            </w:r>
          </w:p>
        </w:tc>
        <w:tc>
          <w:tcPr>
            <w:tcW w:w="1308" w:type="dxa"/>
            <w:vAlign w:val="center"/>
          </w:tcPr>
          <w:p w14:paraId="378163EA">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c>
          <w:tcPr>
            <w:tcW w:w="1152" w:type="dxa"/>
            <w:gridSpan w:val="3"/>
            <w:vAlign w:val="center"/>
          </w:tcPr>
          <w:p w14:paraId="79E2D674">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3</w:t>
            </w:r>
          </w:p>
        </w:tc>
        <w:tc>
          <w:tcPr>
            <w:tcW w:w="1248" w:type="dxa"/>
            <w:gridSpan w:val="4"/>
            <w:vAlign w:val="center"/>
          </w:tcPr>
          <w:p w14:paraId="0E4A272A">
            <w:pPr>
              <w:spacing w:line="240" w:lineRule="auto"/>
              <w:jc w:val="right"/>
              <w:rPr>
                <w:rFonts w:ascii="宋体" w:hAnsi="宋体" w:cs="宋体"/>
                <w:sz w:val="18"/>
                <w:szCs w:val="18"/>
              </w:rPr>
            </w:pPr>
            <w:r>
              <w:rPr>
                <w:rFonts w:hint="eastAsia" w:ascii="宋体" w:hAnsi="宋体" w:cs="宋体"/>
                <w:sz w:val="18"/>
                <w:szCs w:val="18"/>
              </w:rPr>
              <w:t>m</w:t>
            </w:r>
          </w:p>
        </w:tc>
        <w:tc>
          <w:tcPr>
            <w:tcW w:w="1613" w:type="dxa"/>
            <w:gridSpan w:val="3"/>
            <w:vAlign w:val="center"/>
          </w:tcPr>
          <w:p w14:paraId="4DCD3605">
            <w:pPr>
              <w:spacing w:line="240" w:lineRule="auto"/>
              <w:jc w:val="center"/>
              <w:rPr>
                <w:rFonts w:ascii="宋体" w:hAnsi="宋体" w:cs="宋体"/>
                <w:sz w:val="18"/>
                <w:szCs w:val="18"/>
              </w:rPr>
            </w:pPr>
            <w:r>
              <w:rPr>
                <w:rFonts w:hint="eastAsia" w:ascii="宋体" w:hAnsi="宋体" w:cs="宋体"/>
                <w:sz w:val="18"/>
                <w:szCs w:val="18"/>
              </w:rPr>
              <w:t>灾情等级</w:t>
            </w:r>
          </w:p>
        </w:tc>
        <w:tc>
          <w:tcPr>
            <w:tcW w:w="3194" w:type="dxa"/>
            <w:gridSpan w:val="5"/>
            <w:vAlign w:val="center"/>
          </w:tcPr>
          <w:p w14:paraId="549E4DC2">
            <w:pPr>
              <w:spacing w:line="240" w:lineRule="auto"/>
              <w:jc w:val="center"/>
              <w:rPr>
                <w:rFonts w:ascii="宋体" w:hAnsi="宋体" w:cs="宋体"/>
                <w:sz w:val="18"/>
                <w:szCs w:val="18"/>
              </w:rPr>
            </w:pPr>
            <w:r>
              <w:rPr>
                <w:rFonts w:hint="eastAsia" w:ascii="宋体" w:hAnsi="宋体" w:cs="宋体"/>
                <w:sz w:val="18"/>
                <w:szCs w:val="18"/>
              </w:rPr>
              <w:t>□特大型     □大型</w:t>
            </w:r>
          </w:p>
          <w:p w14:paraId="5819F38D">
            <w:pPr>
              <w:spacing w:line="240" w:lineRule="auto"/>
              <w:jc w:val="center"/>
              <w:rPr>
                <w:rFonts w:ascii="宋体" w:hAnsi="宋体" w:cs="宋体"/>
                <w:sz w:val="18"/>
                <w:szCs w:val="18"/>
              </w:rPr>
            </w:pPr>
            <w:r>
              <w:rPr>
                <w:rFonts w:hint="eastAsia" w:ascii="宋体" w:hAnsi="宋体" w:cs="宋体"/>
                <w:sz w:val="18"/>
                <w:szCs w:val="18"/>
              </w:rPr>
              <w:t>□中型       □小型</w:t>
            </w:r>
          </w:p>
        </w:tc>
      </w:tr>
      <w:tr w14:paraId="22967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2527FDB3">
            <w:pPr>
              <w:spacing w:line="240" w:lineRule="auto"/>
              <w:jc w:val="center"/>
              <w:rPr>
                <w:rFonts w:ascii="宋体" w:hAnsi="宋体" w:cs="宋体"/>
                <w:sz w:val="18"/>
                <w:szCs w:val="18"/>
              </w:rPr>
            </w:pPr>
            <w:r>
              <w:rPr>
                <w:rFonts w:hint="eastAsia" w:ascii="宋体" w:hAnsi="宋体" w:cs="宋体"/>
                <w:sz w:val="18"/>
                <w:szCs w:val="18"/>
              </w:rPr>
              <w:t>死亡人数</w:t>
            </w:r>
          </w:p>
          <w:p w14:paraId="0A3C84C9">
            <w:pPr>
              <w:spacing w:line="240" w:lineRule="auto"/>
              <w:jc w:val="center"/>
              <w:rPr>
                <w:rFonts w:ascii="宋体" w:hAnsi="宋体" w:cs="宋体"/>
                <w:sz w:val="18"/>
                <w:szCs w:val="18"/>
              </w:rPr>
            </w:pPr>
            <w:r>
              <w:rPr>
                <w:rFonts w:hint="eastAsia" w:ascii="宋体" w:hAnsi="宋体" w:cs="宋体"/>
                <w:sz w:val="18"/>
                <w:szCs w:val="18"/>
              </w:rPr>
              <w:t>（人）</w:t>
            </w:r>
          </w:p>
        </w:tc>
        <w:tc>
          <w:tcPr>
            <w:tcW w:w="1308" w:type="dxa"/>
            <w:vAlign w:val="center"/>
          </w:tcPr>
          <w:p w14:paraId="4EBED4CE">
            <w:pPr>
              <w:spacing w:line="240" w:lineRule="auto"/>
              <w:jc w:val="right"/>
              <w:rPr>
                <w:rFonts w:ascii="宋体" w:hAnsi="宋体" w:cs="宋体"/>
                <w:sz w:val="18"/>
                <w:szCs w:val="18"/>
              </w:rPr>
            </w:pPr>
          </w:p>
        </w:tc>
        <w:tc>
          <w:tcPr>
            <w:tcW w:w="1152" w:type="dxa"/>
            <w:gridSpan w:val="3"/>
            <w:vAlign w:val="center"/>
          </w:tcPr>
          <w:p w14:paraId="09F6CF1C">
            <w:pPr>
              <w:spacing w:line="240" w:lineRule="auto"/>
              <w:jc w:val="center"/>
              <w:rPr>
                <w:rFonts w:ascii="宋体" w:hAnsi="宋体" w:cs="宋体"/>
                <w:sz w:val="18"/>
                <w:szCs w:val="18"/>
              </w:rPr>
            </w:pPr>
            <w:r>
              <w:rPr>
                <w:rFonts w:hint="eastAsia" w:ascii="宋体" w:hAnsi="宋体" w:cs="宋体"/>
                <w:sz w:val="18"/>
                <w:szCs w:val="18"/>
              </w:rPr>
              <w:t>直接损失</w:t>
            </w:r>
          </w:p>
          <w:p w14:paraId="5C742AB4">
            <w:pPr>
              <w:spacing w:line="240" w:lineRule="auto"/>
              <w:jc w:val="center"/>
              <w:rPr>
                <w:rFonts w:ascii="宋体" w:hAnsi="宋体" w:cs="宋体"/>
                <w:sz w:val="18"/>
                <w:szCs w:val="18"/>
              </w:rPr>
            </w:pPr>
            <w:r>
              <w:rPr>
                <w:rFonts w:hint="eastAsia" w:ascii="宋体" w:hAnsi="宋体" w:cs="宋体"/>
                <w:sz w:val="18"/>
                <w:szCs w:val="18"/>
              </w:rPr>
              <w:t>（万元）</w:t>
            </w:r>
          </w:p>
        </w:tc>
        <w:tc>
          <w:tcPr>
            <w:tcW w:w="1248" w:type="dxa"/>
            <w:gridSpan w:val="4"/>
            <w:vAlign w:val="center"/>
          </w:tcPr>
          <w:p w14:paraId="6F972ACE">
            <w:pPr>
              <w:spacing w:line="240" w:lineRule="auto"/>
              <w:jc w:val="right"/>
              <w:rPr>
                <w:rFonts w:ascii="宋体" w:hAnsi="宋体" w:cs="宋体"/>
                <w:sz w:val="18"/>
                <w:szCs w:val="18"/>
              </w:rPr>
            </w:pPr>
          </w:p>
        </w:tc>
        <w:tc>
          <w:tcPr>
            <w:tcW w:w="1613" w:type="dxa"/>
            <w:gridSpan w:val="3"/>
            <w:vAlign w:val="center"/>
          </w:tcPr>
          <w:p w14:paraId="155224DD">
            <w:pPr>
              <w:spacing w:line="240" w:lineRule="auto"/>
              <w:jc w:val="center"/>
              <w:rPr>
                <w:rFonts w:ascii="宋体" w:hAnsi="宋体" w:cs="宋体"/>
                <w:sz w:val="18"/>
                <w:szCs w:val="18"/>
              </w:rPr>
            </w:pPr>
            <w:r>
              <w:rPr>
                <w:rFonts w:hint="eastAsia" w:ascii="宋体" w:hAnsi="宋体" w:cs="宋体"/>
                <w:sz w:val="18"/>
                <w:szCs w:val="18"/>
              </w:rPr>
              <w:t>险情等级</w:t>
            </w:r>
          </w:p>
        </w:tc>
        <w:tc>
          <w:tcPr>
            <w:tcW w:w="3194" w:type="dxa"/>
            <w:gridSpan w:val="5"/>
            <w:vAlign w:val="center"/>
          </w:tcPr>
          <w:p w14:paraId="0B5CE7DD">
            <w:pPr>
              <w:spacing w:line="240" w:lineRule="auto"/>
              <w:jc w:val="center"/>
              <w:rPr>
                <w:rFonts w:ascii="宋体" w:hAnsi="宋体" w:cs="宋体"/>
                <w:sz w:val="18"/>
                <w:szCs w:val="18"/>
              </w:rPr>
            </w:pPr>
            <w:r>
              <w:rPr>
                <w:rFonts w:hint="eastAsia" w:ascii="宋体" w:hAnsi="宋体" w:cs="宋体"/>
                <w:sz w:val="18"/>
                <w:szCs w:val="18"/>
              </w:rPr>
              <w:t>□特大型     □大型</w:t>
            </w:r>
          </w:p>
          <w:p w14:paraId="0637B7E5">
            <w:pPr>
              <w:spacing w:line="240" w:lineRule="auto"/>
              <w:jc w:val="center"/>
              <w:rPr>
                <w:rFonts w:ascii="宋体" w:hAnsi="宋体" w:cs="宋体"/>
                <w:sz w:val="18"/>
                <w:szCs w:val="18"/>
              </w:rPr>
            </w:pPr>
            <w:r>
              <w:rPr>
                <w:rFonts w:hint="eastAsia" w:ascii="宋体" w:hAnsi="宋体" w:cs="宋体"/>
                <w:sz w:val="18"/>
                <w:szCs w:val="18"/>
              </w:rPr>
              <w:t>□中型       □小型</w:t>
            </w:r>
          </w:p>
        </w:tc>
      </w:tr>
      <w:tr w14:paraId="2C59C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trPr>
        <w:tc>
          <w:tcPr>
            <w:tcW w:w="1141" w:type="dxa"/>
            <w:vAlign w:val="center"/>
          </w:tcPr>
          <w:p w14:paraId="028FD617">
            <w:pPr>
              <w:spacing w:line="240" w:lineRule="auto"/>
              <w:jc w:val="center"/>
              <w:rPr>
                <w:rFonts w:ascii="宋体" w:hAnsi="宋体" w:cs="宋体"/>
                <w:sz w:val="18"/>
                <w:szCs w:val="18"/>
              </w:rPr>
            </w:pPr>
            <w:r>
              <w:rPr>
                <w:rFonts w:hint="eastAsia" w:ascii="宋体" w:hAnsi="宋体" w:cs="宋体"/>
                <w:sz w:val="18"/>
                <w:szCs w:val="18"/>
              </w:rPr>
              <w:t>威胁人数</w:t>
            </w:r>
          </w:p>
          <w:p w14:paraId="6314E63A">
            <w:pPr>
              <w:spacing w:line="240" w:lineRule="auto"/>
              <w:jc w:val="center"/>
              <w:rPr>
                <w:rFonts w:ascii="宋体" w:hAnsi="宋体" w:cs="宋体"/>
                <w:sz w:val="18"/>
                <w:szCs w:val="18"/>
              </w:rPr>
            </w:pPr>
            <w:r>
              <w:rPr>
                <w:rFonts w:hint="eastAsia" w:ascii="宋体" w:hAnsi="宋体" w:cs="宋体"/>
                <w:sz w:val="18"/>
                <w:szCs w:val="18"/>
              </w:rPr>
              <w:t>（人）</w:t>
            </w:r>
          </w:p>
        </w:tc>
        <w:tc>
          <w:tcPr>
            <w:tcW w:w="1308" w:type="dxa"/>
            <w:vAlign w:val="center"/>
          </w:tcPr>
          <w:p w14:paraId="33D12FEA">
            <w:pPr>
              <w:spacing w:line="240" w:lineRule="auto"/>
              <w:jc w:val="right"/>
              <w:rPr>
                <w:rFonts w:ascii="宋体" w:hAnsi="宋体" w:cs="宋体"/>
                <w:sz w:val="18"/>
                <w:szCs w:val="18"/>
              </w:rPr>
            </w:pPr>
          </w:p>
        </w:tc>
        <w:tc>
          <w:tcPr>
            <w:tcW w:w="1152" w:type="dxa"/>
            <w:gridSpan w:val="3"/>
            <w:vAlign w:val="center"/>
          </w:tcPr>
          <w:p w14:paraId="7B28039D">
            <w:pPr>
              <w:spacing w:line="240" w:lineRule="auto"/>
              <w:jc w:val="center"/>
              <w:rPr>
                <w:rFonts w:ascii="宋体" w:hAnsi="宋体" w:cs="宋体"/>
                <w:sz w:val="18"/>
                <w:szCs w:val="18"/>
              </w:rPr>
            </w:pPr>
            <w:r>
              <w:rPr>
                <w:rFonts w:hint="eastAsia" w:ascii="宋体" w:hAnsi="宋体" w:cs="宋体"/>
                <w:sz w:val="18"/>
                <w:szCs w:val="18"/>
              </w:rPr>
              <w:t>威胁财产</w:t>
            </w:r>
          </w:p>
          <w:p w14:paraId="491F958C">
            <w:pPr>
              <w:spacing w:line="240" w:lineRule="auto"/>
              <w:jc w:val="center"/>
              <w:rPr>
                <w:rFonts w:ascii="宋体" w:hAnsi="宋体" w:cs="宋体"/>
                <w:sz w:val="18"/>
                <w:szCs w:val="18"/>
              </w:rPr>
            </w:pPr>
            <w:r>
              <w:rPr>
                <w:rFonts w:hint="eastAsia" w:ascii="宋体" w:hAnsi="宋体" w:cs="宋体"/>
                <w:sz w:val="18"/>
                <w:szCs w:val="18"/>
              </w:rPr>
              <w:t>（万元）</w:t>
            </w:r>
          </w:p>
        </w:tc>
        <w:tc>
          <w:tcPr>
            <w:tcW w:w="1248" w:type="dxa"/>
            <w:gridSpan w:val="4"/>
            <w:vAlign w:val="center"/>
          </w:tcPr>
          <w:p w14:paraId="5BB8EAE8">
            <w:pPr>
              <w:spacing w:line="240" w:lineRule="auto"/>
              <w:jc w:val="right"/>
              <w:rPr>
                <w:rFonts w:ascii="宋体" w:hAnsi="宋体" w:cs="宋体"/>
                <w:sz w:val="18"/>
                <w:szCs w:val="18"/>
              </w:rPr>
            </w:pPr>
          </w:p>
        </w:tc>
        <w:tc>
          <w:tcPr>
            <w:tcW w:w="1613" w:type="dxa"/>
            <w:gridSpan w:val="3"/>
            <w:vAlign w:val="center"/>
          </w:tcPr>
          <w:p w14:paraId="6018B852">
            <w:pPr>
              <w:spacing w:line="240" w:lineRule="auto"/>
              <w:jc w:val="center"/>
              <w:rPr>
                <w:rFonts w:ascii="宋体" w:hAnsi="宋体" w:cs="宋体"/>
                <w:sz w:val="18"/>
                <w:szCs w:val="18"/>
              </w:rPr>
            </w:pPr>
          </w:p>
        </w:tc>
        <w:tc>
          <w:tcPr>
            <w:tcW w:w="3194" w:type="dxa"/>
            <w:gridSpan w:val="5"/>
            <w:vAlign w:val="center"/>
          </w:tcPr>
          <w:p w14:paraId="2F640D2A">
            <w:pPr>
              <w:spacing w:line="240" w:lineRule="auto"/>
              <w:jc w:val="center"/>
              <w:rPr>
                <w:rFonts w:ascii="宋体" w:hAnsi="宋体" w:cs="宋体"/>
                <w:sz w:val="18"/>
                <w:szCs w:val="18"/>
              </w:rPr>
            </w:pPr>
          </w:p>
        </w:tc>
      </w:tr>
      <w:tr w14:paraId="4D9E9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5" w:hRule="atLeast"/>
        </w:trPr>
        <w:tc>
          <w:tcPr>
            <w:tcW w:w="1141" w:type="dxa"/>
            <w:tcBorders>
              <w:bottom w:val="single" w:color="auto" w:sz="4" w:space="0"/>
            </w:tcBorders>
            <w:vAlign w:val="center"/>
          </w:tcPr>
          <w:p w14:paraId="0A96C5B4">
            <w:pPr>
              <w:spacing w:line="240" w:lineRule="auto"/>
              <w:jc w:val="center"/>
              <w:rPr>
                <w:rFonts w:ascii="宋体" w:hAnsi="宋体" w:cs="宋体"/>
                <w:sz w:val="18"/>
                <w:szCs w:val="18"/>
              </w:rPr>
            </w:pPr>
            <w:r>
              <w:rPr>
                <w:rFonts w:hint="eastAsia" w:ascii="宋体" w:hAnsi="宋体" w:cs="宋体"/>
                <w:sz w:val="18"/>
                <w:szCs w:val="18"/>
              </w:rPr>
              <w:t>承灾体调查</w:t>
            </w:r>
          </w:p>
        </w:tc>
        <w:tc>
          <w:tcPr>
            <w:tcW w:w="8515" w:type="dxa"/>
            <w:gridSpan w:val="16"/>
            <w:tcBorders>
              <w:bottom w:val="single" w:color="auto" w:sz="4" w:space="0"/>
            </w:tcBorders>
            <w:vAlign w:val="center"/>
          </w:tcPr>
          <w:p w14:paraId="552B3D31">
            <w:pPr>
              <w:spacing w:line="240" w:lineRule="auto"/>
              <w:rPr>
                <w:rFonts w:ascii="宋体" w:hAnsi="宋体" w:cs="宋体"/>
                <w:sz w:val="18"/>
                <w:szCs w:val="18"/>
              </w:rPr>
            </w:pPr>
            <w:r>
              <w:rPr>
                <w:rFonts w:hint="eastAsia" w:ascii="宋体" w:hAnsi="宋体" w:cs="宋体"/>
                <w:sz w:val="18"/>
                <w:szCs w:val="18"/>
              </w:rPr>
              <w:t>人员：□居民：户籍人口</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人，常住人口：</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人；□其他常驻人口：</w:t>
            </w:r>
            <w:r>
              <w:rPr>
                <w:rFonts w:hint="eastAsia" w:ascii="宋体" w:hAnsi="宋体" w:cs="宋体"/>
                <w:sz w:val="18"/>
                <w:szCs w:val="18"/>
                <w:u w:val="single"/>
              </w:rPr>
              <w:t xml:space="preserve">        </w:t>
            </w:r>
            <w:r>
              <w:rPr>
                <w:rFonts w:hint="eastAsia" w:ascii="宋体" w:hAnsi="宋体" w:cs="宋体"/>
                <w:sz w:val="18"/>
                <w:szCs w:val="18"/>
              </w:rPr>
              <w:t>人</w:t>
            </w:r>
          </w:p>
          <w:p w14:paraId="76D7607B">
            <w:pPr>
              <w:spacing w:line="240" w:lineRule="auto"/>
              <w:rPr>
                <w:rFonts w:ascii="宋体" w:hAnsi="宋体" w:cs="宋体"/>
                <w:sz w:val="18"/>
                <w:szCs w:val="18"/>
              </w:rPr>
            </w:pPr>
            <w:r>
              <w:rPr>
                <w:rFonts w:hint="eastAsia" w:ascii="宋体" w:hAnsi="宋体" w:cs="宋体"/>
                <w:sz w:val="18"/>
                <w:szCs w:val="18"/>
              </w:rPr>
              <w:t>基础设施：□房屋</w:t>
            </w:r>
            <w:r>
              <w:rPr>
                <w:rFonts w:hint="eastAsia" w:ascii="宋体" w:hAnsi="宋体" w:cs="宋体"/>
                <w:sz w:val="18"/>
                <w:szCs w:val="18"/>
                <w:u w:val="single"/>
              </w:rPr>
              <w:t xml:space="preserve">    </w:t>
            </w:r>
            <w:r>
              <w:rPr>
                <w:rFonts w:hint="eastAsia" w:ascii="宋体" w:hAnsi="宋体" w:cs="宋体"/>
                <w:sz w:val="18"/>
                <w:szCs w:val="18"/>
              </w:rPr>
              <w:t>间, 其中□钢结构</w:t>
            </w:r>
            <w:r>
              <w:rPr>
                <w:rFonts w:hint="eastAsia" w:ascii="宋体" w:hAnsi="宋体" w:cs="宋体"/>
                <w:sz w:val="18"/>
                <w:szCs w:val="18"/>
                <w:u w:val="single"/>
              </w:rPr>
              <w:t xml:space="preserve">    </w:t>
            </w:r>
            <w:r>
              <w:rPr>
                <w:rFonts w:hint="eastAsia" w:ascii="宋体" w:hAnsi="宋体" w:cs="宋体"/>
                <w:sz w:val="18"/>
                <w:szCs w:val="18"/>
              </w:rPr>
              <w:t>间  □钢混</w:t>
            </w:r>
            <w:r>
              <w:rPr>
                <w:rFonts w:hint="eastAsia" w:ascii="宋体" w:hAnsi="宋体" w:cs="宋体"/>
                <w:sz w:val="18"/>
                <w:szCs w:val="18"/>
                <w:u w:val="single"/>
              </w:rPr>
              <w:t xml:space="preserve">    </w:t>
            </w:r>
            <w:r>
              <w:rPr>
                <w:rFonts w:hint="eastAsia" w:ascii="宋体" w:hAnsi="宋体" w:cs="宋体"/>
                <w:sz w:val="18"/>
                <w:szCs w:val="18"/>
              </w:rPr>
              <w:t>间  □砖混</w:t>
            </w:r>
            <w:r>
              <w:rPr>
                <w:rFonts w:hint="eastAsia" w:ascii="宋体" w:hAnsi="宋体" w:cs="宋体"/>
                <w:sz w:val="18"/>
                <w:szCs w:val="18"/>
                <w:u w:val="single"/>
              </w:rPr>
              <w:t xml:space="preserve">    </w:t>
            </w:r>
            <w:r>
              <w:rPr>
                <w:rFonts w:hint="eastAsia" w:ascii="宋体" w:hAnsi="宋体" w:cs="宋体"/>
                <w:sz w:val="18"/>
                <w:szCs w:val="18"/>
              </w:rPr>
              <w:t>间  □砖木</w:t>
            </w:r>
            <w:r>
              <w:rPr>
                <w:rFonts w:hint="eastAsia" w:ascii="宋体" w:hAnsi="宋体" w:cs="宋体"/>
                <w:sz w:val="18"/>
                <w:szCs w:val="18"/>
                <w:u w:val="single"/>
              </w:rPr>
              <w:t xml:space="preserve">    </w:t>
            </w:r>
            <w:r>
              <w:rPr>
                <w:rFonts w:hint="eastAsia" w:ascii="宋体" w:hAnsi="宋体" w:cs="宋体"/>
                <w:sz w:val="18"/>
                <w:szCs w:val="18"/>
              </w:rPr>
              <w:t>间  □土坯</w:t>
            </w:r>
            <w:r>
              <w:rPr>
                <w:rFonts w:hint="eastAsia" w:ascii="宋体" w:hAnsi="宋体" w:cs="宋体"/>
                <w:sz w:val="18"/>
                <w:szCs w:val="18"/>
                <w:u w:val="single"/>
              </w:rPr>
              <w:t xml:space="preserve">    </w:t>
            </w:r>
            <w:r>
              <w:rPr>
                <w:rFonts w:hint="eastAsia" w:ascii="宋体" w:hAnsi="宋体" w:cs="宋体"/>
                <w:sz w:val="18"/>
                <w:szCs w:val="18"/>
              </w:rPr>
              <w:t>间  □其他：</w:t>
            </w:r>
            <w:r>
              <w:rPr>
                <w:rFonts w:hint="eastAsia" w:ascii="宋体" w:hAnsi="宋体" w:cs="宋体"/>
                <w:sz w:val="18"/>
                <w:szCs w:val="18"/>
                <w:u w:val="single"/>
              </w:rPr>
              <w:t xml:space="preserve">       </w:t>
            </w:r>
          </w:p>
          <w:p w14:paraId="3F9D4D2A">
            <w:pPr>
              <w:spacing w:line="240" w:lineRule="auto"/>
              <w:rPr>
                <w:rFonts w:ascii="宋体" w:hAnsi="宋体" w:cs="宋体"/>
                <w:sz w:val="18"/>
                <w:szCs w:val="18"/>
              </w:rPr>
            </w:pPr>
            <w:r>
              <w:rPr>
                <w:rFonts w:hint="eastAsia" w:ascii="宋体" w:hAnsi="宋体" w:cs="宋体"/>
                <w:sz w:val="18"/>
                <w:szCs w:val="18"/>
              </w:rPr>
              <w:t>□学校</w:t>
            </w:r>
            <w:r>
              <w:rPr>
                <w:rFonts w:hint="eastAsia" w:ascii="宋体" w:hAnsi="宋体" w:cs="宋体"/>
                <w:sz w:val="18"/>
                <w:szCs w:val="18"/>
                <w:u w:val="single"/>
              </w:rPr>
              <w:t xml:space="preserve">    </w:t>
            </w:r>
            <w:r>
              <w:rPr>
                <w:rFonts w:hint="eastAsia" w:ascii="宋体" w:hAnsi="宋体" w:cs="宋体"/>
                <w:sz w:val="18"/>
                <w:szCs w:val="18"/>
              </w:rPr>
              <w:t>个  □医院</w:t>
            </w:r>
            <w:r>
              <w:rPr>
                <w:rFonts w:hint="eastAsia" w:ascii="宋体" w:hAnsi="宋体" w:cs="宋体"/>
                <w:sz w:val="18"/>
                <w:szCs w:val="18"/>
                <w:u w:val="single"/>
              </w:rPr>
              <w:t xml:space="preserve">    </w:t>
            </w:r>
            <w:r>
              <w:rPr>
                <w:rFonts w:hint="eastAsia" w:ascii="宋体" w:hAnsi="宋体" w:cs="宋体"/>
                <w:sz w:val="18"/>
                <w:szCs w:val="18"/>
              </w:rPr>
              <w:t>个  □矿山</w:t>
            </w:r>
            <w:r>
              <w:rPr>
                <w:rFonts w:hint="eastAsia" w:ascii="宋体" w:hAnsi="宋体" w:cs="宋体"/>
                <w:sz w:val="18"/>
                <w:szCs w:val="18"/>
                <w:u w:val="single"/>
              </w:rPr>
              <w:t xml:space="preserve">   </w:t>
            </w:r>
            <w:r>
              <w:rPr>
                <w:rFonts w:hint="eastAsia" w:ascii="宋体" w:hAnsi="宋体" w:cs="宋体"/>
                <w:sz w:val="18"/>
                <w:szCs w:val="18"/>
              </w:rPr>
              <w:t>座  □工厂</w:t>
            </w:r>
            <w:r>
              <w:rPr>
                <w:rFonts w:hint="eastAsia" w:ascii="宋体" w:hAnsi="宋体" w:cs="宋体"/>
                <w:sz w:val="18"/>
                <w:szCs w:val="18"/>
                <w:u w:val="single"/>
              </w:rPr>
              <w:t xml:space="preserve">   </w:t>
            </w:r>
            <w:r>
              <w:rPr>
                <w:rFonts w:hint="eastAsia" w:ascii="宋体" w:hAnsi="宋体" w:cs="宋体"/>
                <w:sz w:val="18"/>
                <w:szCs w:val="18"/>
              </w:rPr>
              <w:t>座  □公路</w:t>
            </w:r>
            <w:r>
              <w:rPr>
                <w:rFonts w:hint="eastAsia" w:ascii="宋体" w:hAnsi="宋体" w:cs="宋体"/>
                <w:sz w:val="18"/>
                <w:szCs w:val="18"/>
                <w:u w:val="single"/>
              </w:rPr>
              <w:t xml:space="preserve">   </w:t>
            </w:r>
            <w:r>
              <w:rPr>
                <w:rFonts w:hint="eastAsia" w:ascii="宋体" w:hAnsi="宋体" w:cs="宋体"/>
                <w:sz w:val="18"/>
                <w:szCs w:val="18"/>
              </w:rPr>
              <w:t>m  □铁路</w:t>
            </w:r>
            <w:r>
              <w:rPr>
                <w:rFonts w:hint="eastAsia" w:ascii="宋体" w:hAnsi="宋体" w:cs="宋体"/>
                <w:sz w:val="18"/>
                <w:szCs w:val="18"/>
                <w:u w:val="single"/>
              </w:rPr>
              <w:t xml:space="preserve">   </w:t>
            </w:r>
            <w:r>
              <w:rPr>
                <w:rFonts w:hint="eastAsia" w:ascii="宋体" w:hAnsi="宋体" w:cs="宋体"/>
                <w:sz w:val="18"/>
                <w:szCs w:val="18"/>
              </w:rPr>
              <w:t xml:space="preserve">m  </w:t>
            </w:r>
          </w:p>
          <w:p w14:paraId="10A60F1D">
            <w:pPr>
              <w:spacing w:line="240" w:lineRule="auto"/>
              <w:rPr>
                <w:rFonts w:ascii="宋体" w:hAnsi="宋体" w:cs="宋体"/>
                <w:sz w:val="18"/>
                <w:szCs w:val="18"/>
                <w:u w:val="single"/>
              </w:rPr>
            </w:pPr>
            <w:r>
              <w:rPr>
                <w:rFonts w:hint="eastAsia" w:ascii="宋体" w:hAnsi="宋体" w:cs="宋体"/>
                <w:sz w:val="18"/>
                <w:szCs w:val="18"/>
              </w:rPr>
              <w:t>□水库</w:t>
            </w:r>
            <w:r>
              <w:rPr>
                <w:rFonts w:hint="eastAsia" w:ascii="宋体" w:hAnsi="宋体" w:cs="宋体"/>
                <w:sz w:val="18"/>
                <w:szCs w:val="18"/>
                <w:u w:val="single"/>
              </w:rPr>
              <w:t xml:space="preserve">   </w:t>
            </w:r>
            <w:r>
              <w:rPr>
                <w:rFonts w:hint="eastAsia" w:ascii="宋体" w:hAnsi="宋体" w:cs="宋体"/>
                <w:sz w:val="18"/>
                <w:szCs w:val="18"/>
              </w:rPr>
              <w:t>座  □电站</w:t>
            </w:r>
            <w:r>
              <w:rPr>
                <w:rFonts w:hint="eastAsia" w:ascii="宋体" w:hAnsi="宋体" w:cs="宋体"/>
                <w:sz w:val="18"/>
                <w:szCs w:val="18"/>
                <w:u w:val="single"/>
              </w:rPr>
              <w:t xml:space="preserve">   </w:t>
            </w:r>
            <w:r>
              <w:rPr>
                <w:rFonts w:hint="eastAsia" w:ascii="宋体" w:hAnsi="宋体" w:cs="宋体"/>
                <w:sz w:val="18"/>
                <w:szCs w:val="18"/>
              </w:rPr>
              <w:t>座  □输电线路</w:t>
            </w:r>
            <w:r>
              <w:rPr>
                <w:rFonts w:hint="eastAsia" w:ascii="宋体" w:hAnsi="宋体" w:cs="宋体"/>
                <w:sz w:val="18"/>
                <w:szCs w:val="18"/>
                <w:u w:val="single"/>
              </w:rPr>
              <w:t xml:space="preserve">   </w:t>
            </w:r>
            <w:r>
              <w:rPr>
                <w:rFonts w:hint="eastAsia" w:ascii="宋体" w:hAnsi="宋体" w:cs="宋体"/>
                <w:sz w:val="18"/>
                <w:szCs w:val="18"/>
              </w:rPr>
              <w:t>m  □通讯设施</w:t>
            </w:r>
            <w:r>
              <w:rPr>
                <w:rFonts w:hint="eastAsia" w:ascii="宋体" w:hAnsi="宋体" w:cs="宋体"/>
                <w:sz w:val="18"/>
                <w:szCs w:val="18"/>
                <w:u w:val="single"/>
              </w:rPr>
              <w:t xml:space="preserve">   </w:t>
            </w:r>
            <w:r>
              <w:rPr>
                <w:rFonts w:hint="eastAsia" w:ascii="宋体" w:hAnsi="宋体" w:cs="宋体"/>
                <w:sz w:val="18"/>
                <w:szCs w:val="18"/>
              </w:rPr>
              <w:t>座  □其他：</w:t>
            </w:r>
            <w:r>
              <w:rPr>
                <w:rFonts w:hint="eastAsia" w:ascii="宋体" w:hAnsi="宋体" w:cs="宋体"/>
                <w:sz w:val="18"/>
                <w:szCs w:val="18"/>
                <w:u w:val="single"/>
              </w:rPr>
              <w:t xml:space="preserve">      </w:t>
            </w:r>
          </w:p>
        </w:tc>
      </w:tr>
    </w:tbl>
    <w:p w14:paraId="37151035">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表C</w:t>
      </w:r>
      <w:r>
        <w:rPr>
          <w:rFonts w:ascii="黑体" w:hAnsi="黑体" w:eastAsia="黑体"/>
        </w:rPr>
        <w:t>.5</w:t>
      </w:r>
      <w:r>
        <w:rPr>
          <w:rFonts w:hint="eastAsia" w:ascii="黑体" w:hAnsi="黑体" w:eastAsia="黑体"/>
        </w:rPr>
        <w:t>崩塌及隐患调查记录表（续）</w:t>
      </w:r>
    </w:p>
    <w:tbl>
      <w:tblPr>
        <w:tblStyle w:val="28"/>
        <w:tblW w:w="9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6"/>
        <w:gridCol w:w="650"/>
        <w:gridCol w:w="1171"/>
        <w:gridCol w:w="1461"/>
        <w:gridCol w:w="1085"/>
        <w:gridCol w:w="1085"/>
        <w:gridCol w:w="1193"/>
        <w:gridCol w:w="1290"/>
        <w:gridCol w:w="1195"/>
      </w:tblGrid>
      <w:tr w14:paraId="30922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76" w:type="dxa"/>
            <w:gridSpan w:val="2"/>
            <w:vMerge w:val="restart"/>
            <w:vAlign w:val="center"/>
          </w:tcPr>
          <w:p w14:paraId="50452B6D">
            <w:pPr>
              <w:spacing w:line="240" w:lineRule="auto"/>
              <w:jc w:val="center"/>
              <w:rPr>
                <w:rFonts w:ascii="Times New Roman" w:hAnsi="Times New Roman"/>
                <w:sz w:val="18"/>
                <w:szCs w:val="18"/>
              </w:rPr>
            </w:pPr>
            <w:r>
              <w:rPr>
                <w:rFonts w:ascii="Times New Roman" w:hAnsi="Times New Roman"/>
                <w:sz w:val="18"/>
                <w:szCs w:val="18"/>
              </w:rPr>
              <w:t>防治措施</w:t>
            </w:r>
          </w:p>
        </w:tc>
        <w:tc>
          <w:tcPr>
            <w:tcW w:w="1171" w:type="dxa"/>
            <w:vMerge w:val="restart"/>
            <w:vAlign w:val="center"/>
          </w:tcPr>
          <w:p w14:paraId="089FC201">
            <w:pPr>
              <w:spacing w:line="240" w:lineRule="auto"/>
              <w:rPr>
                <w:rFonts w:ascii="Times New Roman" w:hAnsi="Times New Roman"/>
                <w:sz w:val="18"/>
                <w:szCs w:val="18"/>
              </w:rPr>
            </w:pPr>
            <w:r>
              <w:rPr>
                <w:rFonts w:ascii="Times New Roman" w:hAnsi="Times New Roman"/>
                <w:sz w:val="18"/>
                <w:szCs w:val="18"/>
              </w:rPr>
              <w:t>□有  □无</w:t>
            </w:r>
          </w:p>
        </w:tc>
        <w:tc>
          <w:tcPr>
            <w:tcW w:w="1461" w:type="dxa"/>
            <w:tcBorders>
              <w:bottom w:val="single" w:color="auto" w:sz="4" w:space="0"/>
            </w:tcBorders>
            <w:vAlign w:val="center"/>
          </w:tcPr>
          <w:p w14:paraId="73E245D3">
            <w:pPr>
              <w:spacing w:line="240" w:lineRule="auto"/>
              <w:rPr>
                <w:rFonts w:ascii="Times New Roman" w:hAnsi="Times New Roman"/>
                <w:sz w:val="18"/>
                <w:szCs w:val="18"/>
              </w:rPr>
            </w:pPr>
            <w:r>
              <w:rPr>
                <w:rFonts w:ascii="Times New Roman" w:hAnsi="Times New Roman"/>
                <w:sz w:val="18"/>
                <w:szCs w:val="18"/>
              </w:rPr>
              <w:t>防治类型</w:t>
            </w:r>
          </w:p>
        </w:tc>
        <w:tc>
          <w:tcPr>
            <w:tcW w:w="5848" w:type="dxa"/>
            <w:gridSpan w:val="5"/>
            <w:tcBorders>
              <w:bottom w:val="single" w:color="auto" w:sz="4" w:space="0"/>
            </w:tcBorders>
            <w:vAlign w:val="center"/>
          </w:tcPr>
          <w:p w14:paraId="4A9DA8F6">
            <w:pPr>
              <w:spacing w:line="240" w:lineRule="auto"/>
              <w:rPr>
                <w:rFonts w:ascii="Times New Roman" w:hAnsi="Times New Roman"/>
                <w:sz w:val="18"/>
                <w:szCs w:val="18"/>
              </w:rPr>
            </w:pPr>
            <w:r>
              <w:rPr>
                <w:rFonts w:ascii="Times New Roman" w:hAnsi="Times New Roman"/>
                <w:sz w:val="18"/>
                <w:szCs w:val="18"/>
              </w:rPr>
              <w:t xml:space="preserve">□清危  □截排水  □锚固  □支挡  □护坡  □被动防护  □群测群防 </w:t>
            </w:r>
          </w:p>
          <w:p w14:paraId="1D67C235">
            <w:pPr>
              <w:spacing w:line="240" w:lineRule="auto"/>
              <w:rPr>
                <w:rFonts w:ascii="Times New Roman" w:hAnsi="Times New Roman"/>
                <w:sz w:val="18"/>
                <w:szCs w:val="18"/>
              </w:rPr>
            </w:pPr>
            <w:r>
              <w:rPr>
                <w:rFonts w:ascii="Times New Roman" w:hAnsi="Times New Roman"/>
                <w:sz w:val="18"/>
                <w:szCs w:val="18"/>
              </w:rPr>
              <w:t>□专业监测  □避险搬迁  □其他：</w:t>
            </w:r>
            <w:r>
              <w:rPr>
                <w:rFonts w:ascii="Times New Roman" w:hAnsi="Times New Roman"/>
                <w:sz w:val="18"/>
                <w:szCs w:val="18"/>
                <w:u w:val="single"/>
              </w:rPr>
              <w:t xml:space="preserve">      </w:t>
            </w:r>
          </w:p>
        </w:tc>
      </w:tr>
      <w:tr w14:paraId="19673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76" w:type="dxa"/>
            <w:gridSpan w:val="2"/>
            <w:vMerge w:val="continue"/>
            <w:tcBorders>
              <w:bottom w:val="single" w:color="auto" w:sz="4" w:space="0"/>
            </w:tcBorders>
            <w:vAlign w:val="center"/>
          </w:tcPr>
          <w:p w14:paraId="70FF5A1C">
            <w:pPr>
              <w:spacing w:line="240" w:lineRule="auto"/>
              <w:jc w:val="center"/>
              <w:rPr>
                <w:rFonts w:ascii="Times New Roman" w:hAnsi="Times New Roman"/>
                <w:sz w:val="18"/>
                <w:szCs w:val="18"/>
              </w:rPr>
            </w:pPr>
          </w:p>
        </w:tc>
        <w:tc>
          <w:tcPr>
            <w:tcW w:w="1171" w:type="dxa"/>
            <w:vMerge w:val="continue"/>
            <w:tcBorders>
              <w:bottom w:val="single" w:color="auto" w:sz="4" w:space="0"/>
            </w:tcBorders>
            <w:vAlign w:val="center"/>
          </w:tcPr>
          <w:p w14:paraId="0F30E7C0">
            <w:pPr>
              <w:spacing w:line="240" w:lineRule="auto"/>
              <w:rPr>
                <w:rFonts w:ascii="Times New Roman" w:hAnsi="Times New Roman"/>
                <w:sz w:val="18"/>
                <w:szCs w:val="18"/>
              </w:rPr>
            </w:pPr>
          </w:p>
        </w:tc>
        <w:tc>
          <w:tcPr>
            <w:tcW w:w="1461" w:type="dxa"/>
            <w:tcBorders>
              <w:bottom w:val="single" w:color="auto" w:sz="4" w:space="0"/>
            </w:tcBorders>
            <w:vAlign w:val="center"/>
          </w:tcPr>
          <w:p w14:paraId="623762BA">
            <w:pPr>
              <w:spacing w:line="240" w:lineRule="auto"/>
              <w:rPr>
                <w:rFonts w:ascii="Times New Roman" w:hAnsi="Times New Roman"/>
                <w:sz w:val="18"/>
                <w:szCs w:val="18"/>
              </w:rPr>
            </w:pPr>
            <w:r>
              <w:rPr>
                <w:rFonts w:ascii="Times New Roman" w:hAnsi="Times New Roman"/>
                <w:sz w:val="18"/>
                <w:szCs w:val="18"/>
              </w:rPr>
              <w:t>防治措施建议</w:t>
            </w:r>
          </w:p>
        </w:tc>
        <w:tc>
          <w:tcPr>
            <w:tcW w:w="5848" w:type="dxa"/>
            <w:gridSpan w:val="5"/>
            <w:tcBorders>
              <w:bottom w:val="single" w:color="auto" w:sz="4" w:space="0"/>
            </w:tcBorders>
            <w:vAlign w:val="center"/>
          </w:tcPr>
          <w:p w14:paraId="01D35955">
            <w:pPr>
              <w:spacing w:line="240" w:lineRule="auto"/>
              <w:rPr>
                <w:rFonts w:ascii="Times New Roman" w:hAnsi="Times New Roman"/>
                <w:sz w:val="18"/>
                <w:szCs w:val="18"/>
              </w:rPr>
            </w:pPr>
            <w:r>
              <w:rPr>
                <w:rFonts w:ascii="Times New Roman" w:hAnsi="Times New Roman"/>
                <w:sz w:val="18"/>
                <w:szCs w:val="18"/>
              </w:rPr>
              <w:t xml:space="preserve">□立警示牌  □定期巡视  □避让搬迁  □群测群防  □工程治理  </w:t>
            </w:r>
          </w:p>
          <w:p w14:paraId="2416CA9A">
            <w:pPr>
              <w:spacing w:line="240" w:lineRule="auto"/>
              <w:rPr>
                <w:rFonts w:ascii="Times New Roman" w:hAnsi="Times New Roman"/>
                <w:sz w:val="18"/>
                <w:szCs w:val="18"/>
              </w:rPr>
            </w:pPr>
            <w:r>
              <w:rPr>
                <w:rFonts w:ascii="Times New Roman" w:hAnsi="Times New Roman"/>
                <w:sz w:val="18"/>
                <w:szCs w:val="18"/>
              </w:rPr>
              <w:t>□排危除险  □专业监测  □其他：</w:t>
            </w:r>
            <w:r>
              <w:rPr>
                <w:rFonts w:ascii="Times New Roman" w:hAnsi="Times New Roman"/>
                <w:sz w:val="18"/>
                <w:szCs w:val="18"/>
                <w:u w:val="single"/>
              </w:rPr>
              <w:t xml:space="preserve">      </w:t>
            </w:r>
          </w:p>
        </w:tc>
      </w:tr>
      <w:tr w14:paraId="7867E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76" w:type="dxa"/>
            <w:gridSpan w:val="2"/>
            <w:tcBorders>
              <w:bottom w:val="single" w:color="auto" w:sz="4" w:space="0"/>
            </w:tcBorders>
            <w:vAlign w:val="center"/>
          </w:tcPr>
          <w:p w14:paraId="288FBBAD">
            <w:pPr>
              <w:spacing w:line="240" w:lineRule="auto"/>
              <w:jc w:val="center"/>
              <w:rPr>
                <w:rFonts w:ascii="Times New Roman" w:hAnsi="Times New Roman"/>
                <w:sz w:val="18"/>
                <w:szCs w:val="18"/>
              </w:rPr>
            </w:pPr>
            <w:r>
              <w:rPr>
                <w:rFonts w:ascii="Times New Roman" w:hAnsi="Times New Roman"/>
                <w:sz w:val="18"/>
                <w:szCs w:val="18"/>
              </w:rPr>
              <w:t>遥感解译点</w:t>
            </w:r>
          </w:p>
        </w:tc>
        <w:tc>
          <w:tcPr>
            <w:tcW w:w="1171" w:type="dxa"/>
            <w:tcBorders>
              <w:bottom w:val="single" w:color="auto" w:sz="4" w:space="0"/>
            </w:tcBorders>
            <w:vAlign w:val="center"/>
          </w:tcPr>
          <w:p w14:paraId="2D1F94DF">
            <w:pPr>
              <w:spacing w:line="240" w:lineRule="auto"/>
              <w:rPr>
                <w:rFonts w:ascii="Times New Roman" w:hAnsi="Times New Roman"/>
                <w:sz w:val="18"/>
                <w:szCs w:val="18"/>
              </w:rPr>
            </w:pPr>
            <w:r>
              <w:rPr>
                <w:rFonts w:ascii="Times New Roman" w:hAnsi="Times New Roman"/>
                <w:sz w:val="18"/>
                <w:szCs w:val="18"/>
              </w:rPr>
              <w:t>□是  □否</w:t>
            </w:r>
          </w:p>
        </w:tc>
        <w:tc>
          <w:tcPr>
            <w:tcW w:w="1461" w:type="dxa"/>
            <w:tcBorders>
              <w:bottom w:val="single" w:color="auto" w:sz="4" w:space="0"/>
            </w:tcBorders>
            <w:vAlign w:val="center"/>
          </w:tcPr>
          <w:p w14:paraId="2F9EEB41">
            <w:pPr>
              <w:spacing w:line="240" w:lineRule="auto"/>
              <w:rPr>
                <w:rFonts w:ascii="Times New Roman" w:hAnsi="Times New Roman"/>
                <w:sz w:val="18"/>
                <w:szCs w:val="18"/>
              </w:rPr>
            </w:pPr>
            <w:r>
              <w:rPr>
                <w:rFonts w:ascii="Times New Roman" w:hAnsi="Times New Roman"/>
                <w:sz w:val="18"/>
                <w:szCs w:val="18"/>
              </w:rPr>
              <w:t>勘查点</w:t>
            </w:r>
          </w:p>
        </w:tc>
        <w:tc>
          <w:tcPr>
            <w:tcW w:w="1085" w:type="dxa"/>
            <w:tcBorders>
              <w:bottom w:val="single" w:color="auto" w:sz="4" w:space="0"/>
            </w:tcBorders>
            <w:vAlign w:val="center"/>
          </w:tcPr>
          <w:p w14:paraId="7EB3F7F3">
            <w:pPr>
              <w:spacing w:line="240" w:lineRule="auto"/>
              <w:rPr>
                <w:rFonts w:ascii="Times New Roman" w:hAnsi="Times New Roman"/>
                <w:sz w:val="18"/>
                <w:szCs w:val="18"/>
              </w:rPr>
            </w:pPr>
            <w:r>
              <w:rPr>
                <w:rFonts w:ascii="Times New Roman" w:hAnsi="Times New Roman"/>
                <w:sz w:val="18"/>
                <w:szCs w:val="18"/>
              </w:rPr>
              <w:t>□是□否</w:t>
            </w:r>
          </w:p>
        </w:tc>
        <w:tc>
          <w:tcPr>
            <w:tcW w:w="1085" w:type="dxa"/>
            <w:tcBorders>
              <w:bottom w:val="single" w:color="auto" w:sz="4" w:space="0"/>
            </w:tcBorders>
            <w:vAlign w:val="center"/>
          </w:tcPr>
          <w:p w14:paraId="593C0F3A">
            <w:pPr>
              <w:spacing w:line="240" w:lineRule="auto"/>
              <w:rPr>
                <w:rFonts w:ascii="Times New Roman" w:hAnsi="Times New Roman"/>
                <w:sz w:val="18"/>
                <w:szCs w:val="18"/>
              </w:rPr>
            </w:pPr>
            <w:r>
              <w:rPr>
                <w:rFonts w:ascii="Times New Roman" w:hAnsi="Times New Roman"/>
                <w:sz w:val="18"/>
                <w:szCs w:val="18"/>
              </w:rPr>
              <w:t>测绘点</w:t>
            </w:r>
          </w:p>
        </w:tc>
        <w:tc>
          <w:tcPr>
            <w:tcW w:w="1193" w:type="dxa"/>
            <w:tcBorders>
              <w:bottom w:val="single" w:color="auto" w:sz="4" w:space="0"/>
            </w:tcBorders>
            <w:vAlign w:val="center"/>
          </w:tcPr>
          <w:p w14:paraId="7020F7EA">
            <w:pPr>
              <w:spacing w:line="240" w:lineRule="auto"/>
              <w:rPr>
                <w:rFonts w:ascii="Times New Roman" w:hAnsi="Times New Roman"/>
                <w:sz w:val="18"/>
                <w:szCs w:val="18"/>
              </w:rPr>
            </w:pPr>
            <w:r>
              <w:rPr>
                <w:rFonts w:ascii="Times New Roman" w:hAnsi="Times New Roman"/>
                <w:sz w:val="18"/>
                <w:szCs w:val="18"/>
              </w:rPr>
              <w:t>□是  □否</w:t>
            </w:r>
          </w:p>
        </w:tc>
        <w:tc>
          <w:tcPr>
            <w:tcW w:w="1290" w:type="dxa"/>
            <w:tcBorders>
              <w:bottom w:val="single" w:color="auto" w:sz="4" w:space="0"/>
            </w:tcBorders>
            <w:vAlign w:val="center"/>
          </w:tcPr>
          <w:p w14:paraId="3BD3AFAA">
            <w:pPr>
              <w:spacing w:line="240" w:lineRule="auto"/>
              <w:rPr>
                <w:rFonts w:ascii="Times New Roman" w:hAnsi="Times New Roman"/>
                <w:sz w:val="18"/>
                <w:szCs w:val="18"/>
              </w:rPr>
            </w:pPr>
            <w:r>
              <w:rPr>
                <w:rFonts w:ascii="Times New Roman" w:hAnsi="Times New Roman"/>
                <w:sz w:val="18"/>
                <w:szCs w:val="18"/>
              </w:rPr>
              <w:t>防灾预案/群测群防点</w:t>
            </w:r>
          </w:p>
        </w:tc>
        <w:tc>
          <w:tcPr>
            <w:tcW w:w="1195" w:type="dxa"/>
            <w:tcBorders>
              <w:bottom w:val="single" w:color="auto" w:sz="4" w:space="0"/>
            </w:tcBorders>
            <w:vAlign w:val="center"/>
          </w:tcPr>
          <w:p w14:paraId="4306D6B6">
            <w:pPr>
              <w:spacing w:line="240" w:lineRule="auto"/>
              <w:rPr>
                <w:rFonts w:ascii="Times New Roman" w:hAnsi="Times New Roman"/>
                <w:sz w:val="18"/>
                <w:szCs w:val="18"/>
              </w:rPr>
            </w:pPr>
            <w:r>
              <w:rPr>
                <w:rFonts w:ascii="Times New Roman" w:hAnsi="Times New Roman"/>
                <w:sz w:val="18"/>
                <w:szCs w:val="18"/>
              </w:rPr>
              <w:t>□是  □否</w:t>
            </w:r>
          </w:p>
        </w:tc>
      </w:tr>
      <w:tr w14:paraId="1A2EA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atLeast"/>
          <w:jc w:val="center"/>
        </w:trPr>
        <w:tc>
          <w:tcPr>
            <w:tcW w:w="2347" w:type="dxa"/>
            <w:gridSpan w:val="3"/>
            <w:vAlign w:val="center"/>
          </w:tcPr>
          <w:p w14:paraId="4555DF2F">
            <w:pPr>
              <w:spacing w:line="240" w:lineRule="auto"/>
              <w:jc w:val="center"/>
              <w:rPr>
                <w:rFonts w:ascii="Times New Roman" w:hAnsi="Times New Roman"/>
                <w:sz w:val="18"/>
                <w:szCs w:val="18"/>
              </w:rPr>
            </w:pPr>
            <w:r>
              <w:rPr>
                <w:rFonts w:ascii="Times New Roman" w:hAnsi="Times New Roman"/>
                <w:sz w:val="18"/>
                <w:szCs w:val="18"/>
              </w:rPr>
              <w:t>风险定性评判</w:t>
            </w:r>
          </w:p>
        </w:tc>
        <w:tc>
          <w:tcPr>
            <w:tcW w:w="7309" w:type="dxa"/>
            <w:gridSpan w:val="6"/>
            <w:vAlign w:val="center"/>
          </w:tcPr>
          <w:p w14:paraId="0A5FD9AE">
            <w:pPr>
              <w:spacing w:line="240" w:lineRule="auto"/>
              <w:rPr>
                <w:rFonts w:ascii="Times New Roman" w:hAnsi="Times New Roman"/>
                <w:sz w:val="18"/>
                <w:szCs w:val="18"/>
              </w:rPr>
            </w:pPr>
            <w:r>
              <w:rPr>
                <w:rFonts w:ascii="Times New Roman" w:hAnsi="Times New Roman"/>
                <w:sz w:val="18"/>
                <w:szCs w:val="18"/>
              </w:rPr>
              <w:t xml:space="preserve">□极高  □高  □中  □低  </w:t>
            </w:r>
          </w:p>
        </w:tc>
      </w:tr>
      <w:tr w14:paraId="359BD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65" w:hRule="atLeast"/>
          <w:jc w:val="center"/>
        </w:trPr>
        <w:tc>
          <w:tcPr>
            <w:tcW w:w="526" w:type="dxa"/>
            <w:tcBorders>
              <w:bottom w:val="nil"/>
            </w:tcBorders>
            <w:vAlign w:val="center"/>
          </w:tcPr>
          <w:p w14:paraId="0AACCE61">
            <w:pPr>
              <w:spacing w:line="240" w:lineRule="auto"/>
              <w:jc w:val="center"/>
              <w:rPr>
                <w:rFonts w:ascii="Times New Roman" w:hAnsi="Times New Roman"/>
                <w:sz w:val="18"/>
                <w:szCs w:val="18"/>
              </w:rPr>
            </w:pPr>
            <w:r>
              <w:rPr>
                <w:rFonts w:ascii="Times New Roman" w:hAnsi="Times New Roman"/>
                <w:sz w:val="18"/>
                <w:szCs w:val="18"/>
              </w:rPr>
              <w:t>地 质 环 境 条 件</w:t>
            </w:r>
          </w:p>
        </w:tc>
        <w:tc>
          <w:tcPr>
            <w:tcW w:w="9130" w:type="dxa"/>
            <w:gridSpan w:val="8"/>
            <w:tcBorders>
              <w:bottom w:val="nil"/>
            </w:tcBorders>
          </w:tcPr>
          <w:p w14:paraId="22760CA6">
            <w:pPr>
              <w:spacing w:line="240" w:lineRule="auto"/>
              <w:rPr>
                <w:rFonts w:ascii="Times New Roman" w:hAnsi="Times New Roman"/>
                <w:sz w:val="18"/>
                <w:szCs w:val="18"/>
              </w:rPr>
            </w:pPr>
            <w:r>
              <w:rPr>
                <w:rFonts w:ascii="Times New Roman" w:hAnsi="Times New Roman"/>
                <w:sz w:val="18"/>
                <w:szCs w:val="18"/>
              </w:rPr>
              <w:t>主要描述崩塌发育的地质环境基本特征：如地形地貌、地层岩性及岩性组合、地质构造、斜坡结构及水文地质、植被土地利用、人类工程活动等。</w:t>
            </w:r>
          </w:p>
          <w:p w14:paraId="25CFF2A1">
            <w:pPr>
              <w:spacing w:line="240" w:lineRule="auto"/>
              <w:rPr>
                <w:rFonts w:ascii="Times New Roman" w:hAnsi="Times New Roman"/>
                <w:sz w:val="18"/>
                <w:szCs w:val="18"/>
              </w:rPr>
            </w:pPr>
          </w:p>
        </w:tc>
      </w:tr>
      <w:tr w14:paraId="1411B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2" w:hRule="atLeast"/>
          <w:jc w:val="center"/>
        </w:trPr>
        <w:tc>
          <w:tcPr>
            <w:tcW w:w="526" w:type="dxa"/>
            <w:vMerge w:val="restart"/>
            <w:textDirection w:val="tbRlV"/>
            <w:vAlign w:val="center"/>
          </w:tcPr>
          <w:p w14:paraId="36CA30C0">
            <w:pPr>
              <w:spacing w:line="240" w:lineRule="auto"/>
              <w:jc w:val="center"/>
              <w:rPr>
                <w:rFonts w:ascii="Times New Roman" w:hAnsi="Times New Roman"/>
                <w:sz w:val="18"/>
                <w:szCs w:val="18"/>
              </w:rPr>
            </w:pPr>
            <w:r>
              <w:rPr>
                <w:rFonts w:ascii="Times New Roman" w:hAnsi="Times New Roman"/>
                <w:sz w:val="18"/>
                <w:szCs w:val="18"/>
              </w:rPr>
              <w:t>崩 塌 （危 岩 体）基  本  特  征</w:t>
            </w:r>
          </w:p>
        </w:tc>
        <w:tc>
          <w:tcPr>
            <w:tcW w:w="9130" w:type="dxa"/>
            <w:gridSpan w:val="8"/>
          </w:tcPr>
          <w:p w14:paraId="05BD1237">
            <w:pPr>
              <w:spacing w:line="240" w:lineRule="auto"/>
              <w:rPr>
                <w:rFonts w:ascii="Times New Roman" w:hAnsi="Times New Roman"/>
                <w:sz w:val="18"/>
                <w:szCs w:val="18"/>
              </w:rPr>
            </w:pPr>
            <w:r>
              <w:rPr>
                <w:rFonts w:ascii="Times New Roman" w:hAnsi="Times New Roman"/>
                <w:sz w:val="18"/>
                <w:szCs w:val="18"/>
              </w:rPr>
              <w:t>崩塌源区：（边界条件，危岩体岩性及岩体结构，控制结构面产状，卸荷裂隙发育特征及其组合形式、交切特点、贯通情况、变形迹象及变形历史等。）</w:t>
            </w:r>
          </w:p>
          <w:p w14:paraId="41708100">
            <w:pPr>
              <w:spacing w:line="240" w:lineRule="auto"/>
              <w:rPr>
                <w:rFonts w:ascii="Times New Roman" w:hAnsi="Times New Roman"/>
                <w:sz w:val="18"/>
                <w:szCs w:val="18"/>
              </w:rPr>
            </w:pPr>
          </w:p>
        </w:tc>
      </w:tr>
      <w:tr w14:paraId="193D8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79" w:hRule="atLeast"/>
          <w:jc w:val="center"/>
        </w:trPr>
        <w:tc>
          <w:tcPr>
            <w:tcW w:w="526" w:type="dxa"/>
            <w:vMerge w:val="continue"/>
          </w:tcPr>
          <w:p w14:paraId="07F078A6">
            <w:pPr>
              <w:spacing w:line="240" w:lineRule="auto"/>
              <w:rPr>
                <w:rFonts w:ascii="Times New Roman" w:hAnsi="Times New Roman"/>
                <w:sz w:val="18"/>
                <w:szCs w:val="18"/>
              </w:rPr>
            </w:pPr>
          </w:p>
        </w:tc>
        <w:tc>
          <w:tcPr>
            <w:tcW w:w="9130" w:type="dxa"/>
            <w:gridSpan w:val="8"/>
          </w:tcPr>
          <w:p w14:paraId="2F513BE4">
            <w:pPr>
              <w:spacing w:line="240" w:lineRule="auto"/>
              <w:rPr>
                <w:rFonts w:ascii="Times New Roman" w:hAnsi="Times New Roman"/>
                <w:sz w:val="18"/>
                <w:szCs w:val="18"/>
              </w:rPr>
            </w:pPr>
            <w:r>
              <w:rPr>
                <w:rFonts w:ascii="Times New Roman" w:hAnsi="Times New Roman"/>
                <w:sz w:val="18"/>
                <w:szCs w:val="18"/>
              </w:rPr>
              <w:t>崩塌堆积体：（几何形态，厚度、规模，新鲜程度；岩性及分选状态与空间分布特征、最远落石距离、稳定性等。）</w:t>
            </w:r>
          </w:p>
          <w:p w14:paraId="5A736D86">
            <w:pPr>
              <w:spacing w:line="240" w:lineRule="auto"/>
              <w:rPr>
                <w:rFonts w:ascii="Times New Roman" w:hAnsi="Times New Roman"/>
                <w:sz w:val="18"/>
                <w:szCs w:val="18"/>
              </w:rPr>
            </w:pPr>
          </w:p>
        </w:tc>
      </w:tr>
      <w:tr w14:paraId="3E45B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4" w:hRule="atLeast"/>
          <w:jc w:val="center"/>
        </w:trPr>
        <w:tc>
          <w:tcPr>
            <w:tcW w:w="526" w:type="dxa"/>
            <w:vMerge w:val="continue"/>
          </w:tcPr>
          <w:p w14:paraId="67E6B219">
            <w:pPr>
              <w:spacing w:line="240" w:lineRule="auto"/>
              <w:rPr>
                <w:rFonts w:ascii="Times New Roman" w:hAnsi="Times New Roman"/>
                <w:sz w:val="18"/>
                <w:szCs w:val="18"/>
              </w:rPr>
            </w:pPr>
          </w:p>
        </w:tc>
        <w:tc>
          <w:tcPr>
            <w:tcW w:w="9130" w:type="dxa"/>
            <w:gridSpan w:val="8"/>
          </w:tcPr>
          <w:p w14:paraId="184B6551">
            <w:pPr>
              <w:spacing w:line="240" w:lineRule="auto"/>
              <w:rPr>
                <w:rFonts w:ascii="Times New Roman" w:hAnsi="Times New Roman"/>
                <w:sz w:val="18"/>
                <w:szCs w:val="18"/>
              </w:rPr>
            </w:pPr>
            <w:r>
              <w:rPr>
                <w:rFonts w:ascii="Times New Roman" w:hAnsi="Times New Roman"/>
                <w:sz w:val="18"/>
                <w:szCs w:val="18"/>
              </w:rPr>
              <w:t>崩塌路径区：（路径区斜坡几何形态、地层岩性、植被发育情况；是否有建筑设施等。）</w:t>
            </w:r>
          </w:p>
          <w:p w14:paraId="1F7A8E0C">
            <w:pPr>
              <w:spacing w:line="240" w:lineRule="auto"/>
              <w:rPr>
                <w:rFonts w:ascii="Times New Roman" w:hAnsi="Times New Roman"/>
                <w:sz w:val="18"/>
                <w:szCs w:val="18"/>
              </w:rPr>
            </w:pPr>
          </w:p>
          <w:p w14:paraId="3BA82FFC">
            <w:pPr>
              <w:spacing w:line="240" w:lineRule="auto"/>
              <w:rPr>
                <w:rFonts w:ascii="Times New Roman" w:hAnsi="Times New Roman"/>
                <w:sz w:val="18"/>
                <w:szCs w:val="18"/>
              </w:rPr>
            </w:pPr>
          </w:p>
        </w:tc>
      </w:tr>
      <w:tr w14:paraId="22D5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39" w:hRule="atLeast"/>
          <w:jc w:val="center"/>
        </w:trPr>
        <w:tc>
          <w:tcPr>
            <w:tcW w:w="526" w:type="dxa"/>
            <w:textDirection w:val="tbRlV"/>
            <w:vAlign w:val="center"/>
          </w:tcPr>
          <w:p w14:paraId="13950BBE">
            <w:pPr>
              <w:spacing w:line="240" w:lineRule="auto"/>
              <w:jc w:val="center"/>
              <w:rPr>
                <w:rFonts w:ascii="Times New Roman" w:hAnsi="Times New Roman"/>
                <w:sz w:val="18"/>
                <w:szCs w:val="18"/>
              </w:rPr>
            </w:pPr>
            <w:r>
              <w:rPr>
                <w:rFonts w:ascii="Times New Roman" w:hAnsi="Times New Roman"/>
                <w:sz w:val="18"/>
                <w:szCs w:val="18"/>
              </w:rPr>
              <w:t>稳 定 性 分 析</w:t>
            </w:r>
          </w:p>
        </w:tc>
        <w:tc>
          <w:tcPr>
            <w:tcW w:w="9130" w:type="dxa"/>
            <w:gridSpan w:val="8"/>
          </w:tcPr>
          <w:p w14:paraId="57F02F8B">
            <w:pPr>
              <w:spacing w:line="240" w:lineRule="auto"/>
              <w:rPr>
                <w:rFonts w:ascii="Times New Roman" w:hAnsi="Times New Roman"/>
                <w:sz w:val="18"/>
                <w:szCs w:val="18"/>
              </w:rPr>
            </w:pPr>
            <w:r>
              <w:rPr>
                <w:rFonts w:ascii="Times New Roman" w:hAnsi="Times New Roman"/>
                <w:sz w:val="18"/>
                <w:szCs w:val="18"/>
              </w:rPr>
              <w:t>（不同概率降雨、地震或人工扰动情况下特定规模崩塌稳定性分析。）</w:t>
            </w:r>
          </w:p>
          <w:p w14:paraId="345CD830">
            <w:pPr>
              <w:spacing w:line="240" w:lineRule="auto"/>
              <w:rPr>
                <w:rFonts w:ascii="Times New Roman" w:hAnsi="Times New Roman"/>
                <w:sz w:val="18"/>
                <w:szCs w:val="18"/>
              </w:rPr>
            </w:pPr>
          </w:p>
          <w:p w14:paraId="68DE8A78">
            <w:pPr>
              <w:spacing w:line="240" w:lineRule="auto"/>
              <w:rPr>
                <w:rFonts w:ascii="Times New Roman" w:hAnsi="Times New Roman"/>
                <w:sz w:val="18"/>
                <w:szCs w:val="18"/>
              </w:rPr>
            </w:pPr>
          </w:p>
          <w:p w14:paraId="3C73000D">
            <w:pPr>
              <w:spacing w:line="240" w:lineRule="auto"/>
              <w:rPr>
                <w:rFonts w:ascii="Times New Roman" w:hAnsi="Times New Roman"/>
                <w:sz w:val="18"/>
                <w:szCs w:val="18"/>
              </w:rPr>
            </w:pPr>
          </w:p>
        </w:tc>
      </w:tr>
      <w:tr w14:paraId="71D72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89" w:hRule="atLeast"/>
          <w:jc w:val="center"/>
        </w:trPr>
        <w:tc>
          <w:tcPr>
            <w:tcW w:w="526" w:type="dxa"/>
            <w:textDirection w:val="tbRlV"/>
            <w:vAlign w:val="center"/>
          </w:tcPr>
          <w:p w14:paraId="7D385773">
            <w:pPr>
              <w:spacing w:line="240" w:lineRule="auto"/>
              <w:jc w:val="center"/>
              <w:rPr>
                <w:rFonts w:ascii="Times New Roman" w:hAnsi="Times New Roman"/>
                <w:sz w:val="18"/>
                <w:szCs w:val="18"/>
              </w:rPr>
            </w:pPr>
            <w:r>
              <w:rPr>
                <w:rFonts w:ascii="Times New Roman" w:hAnsi="Times New Roman"/>
                <w:sz w:val="18"/>
                <w:szCs w:val="18"/>
              </w:rPr>
              <w:t>危 害 程 度</w:t>
            </w:r>
          </w:p>
        </w:tc>
        <w:tc>
          <w:tcPr>
            <w:tcW w:w="9130" w:type="dxa"/>
            <w:gridSpan w:val="8"/>
          </w:tcPr>
          <w:p w14:paraId="757FD015">
            <w:pPr>
              <w:spacing w:line="240" w:lineRule="auto"/>
              <w:rPr>
                <w:rFonts w:ascii="Times New Roman" w:hAnsi="Times New Roman"/>
                <w:sz w:val="18"/>
                <w:szCs w:val="18"/>
              </w:rPr>
            </w:pPr>
            <w:r>
              <w:rPr>
                <w:rFonts w:ascii="Times New Roman" w:hAnsi="Times New Roman"/>
                <w:sz w:val="18"/>
                <w:szCs w:val="18"/>
              </w:rPr>
              <w:t>（人员伤亡、财产损失情况；崩塌影响范围内的人员、财产、设施等情况及可能的成灾模式。）</w:t>
            </w:r>
          </w:p>
          <w:p w14:paraId="435EB8D4">
            <w:pPr>
              <w:spacing w:line="240" w:lineRule="auto"/>
              <w:rPr>
                <w:rFonts w:ascii="Times New Roman" w:hAnsi="Times New Roman"/>
                <w:sz w:val="18"/>
                <w:szCs w:val="18"/>
              </w:rPr>
            </w:pPr>
          </w:p>
          <w:p w14:paraId="23E578F4">
            <w:pPr>
              <w:spacing w:line="240" w:lineRule="auto"/>
              <w:rPr>
                <w:rFonts w:ascii="Times New Roman" w:hAnsi="Times New Roman"/>
                <w:sz w:val="18"/>
                <w:szCs w:val="18"/>
              </w:rPr>
            </w:pPr>
          </w:p>
          <w:p w14:paraId="355DFD9C">
            <w:pPr>
              <w:spacing w:line="240" w:lineRule="auto"/>
              <w:rPr>
                <w:rFonts w:ascii="Times New Roman" w:hAnsi="Times New Roman"/>
                <w:sz w:val="18"/>
                <w:szCs w:val="18"/>
              </w:rPr>
            </w:pPr>
          </w:p>
        </w:tc>
      </w:tr>
    </w:tbl>
    <w:p w14:paraId="53B1178F">
      <w:pPr>
        <w:pStyle w:val="58"/>
        <w:pageBreakBefore/>
        <w:spacing w:before="156" w:beforeLines="50" w:after="156" w:afterLines="50"/>
        <w:ind w:firstLine="0" w:firstLineChars="0"/>
        <w:jc w:val="center"/>
        <w:rPr>
          <w:rFonts w:ascii="黑体" w:hAnsi="黑体" w:eastAsia="黑体"/>
        </w:rPr>
      </w:pPr>
      <w:bookmarkStart w:id="297" w:name="_Hlk168089265"/>
      <w:r>
        <w:rPr>
          <w:rFonts w:hint="eastAsia" w:ascii="黑体" w:hAnsi="黑体" w:eastAsia="黑体"/>
        </w:rPr>
        <w:t>表C</w:t>
      </w:r>
      <w:r>
        <w:rPr>
          <w:rFonts w:ascii="黑体" w:hAnsi="黑体" w:eastAsia="黑体"/>
        </w:rPr>
        <w:t>.5</w:t>
      </w:r>
      <w:bookmarkEnd w:id="297"/>
      <w:r>
        <w:rPr>
          <w:rFonts w:ascii="黑体" w:hAnsi="黑体" w:eastAsia="黑体"/>
        </w:rPr>
        <w:t xml:space="preserve"> </w:t>
      </w:r>
      <w:r>
        <w:rPr>
          <w:rFonts w:hint="eastAsia" w:ascii="黑体" w:hAnsi="黑体" w:eastAsia="黑体"/>
        </w:rPr>
        <w:t>崩塌及隐患调查记录表（续）</w:t>
      </w:r>
    </w:p>
    <w:tbl>
      <w:tblPr>
        <w:tblStyle w:val="28"/>
        <w:tblW w:w="9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6"/>
        <w:gridCol w:w="9130"/>
      </w:tblGrid>
      <w:tr w14:paraId="1C42D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762" w:hRule="atLeast"/>
          <w:jc w:val="center"/>
        </w:trPr>
        <w:tc>
          <w:tcPr>
            <w:tcW w:w="526" w:type="dxa"/>
            <w:vAlign w:val="center"/>
          </w:tcPr>
          <w:p w14:paraId="41E54539">
            <w:pPr>
              <w:jc w:val="center"/>
              <w:rPr>
                <w:rFonts w:ascii="Times New Roman" w:hAnsi="Times New Roman"/>
                <w:sz w:val="18"/>
                <w:szCs w:val="18"/>
              </w:rPr>
            </w:pPr>
            <w:r>
              <w:rPr>
                <w:rFonts w:ascii="Times New Roman" w:hAnsi="Times New Roman"/>
                <w:sz w:val="18"/>
                <w:szCs w:val="18"/>
              </w:rPr>
              <w:t>平面图和剖面图</w:t>
            </w:r>
          </w:p>
        </w:tc>
        <w:tc>
          <w:tcPr>
            <w:tcW w:w="9130" w:type="dxa"/>
          </w:tcPr>
          <w:p w14:paraId="139D7FF7">
            <w:pPr>
              <w:jc w:val="center"/>
              <w:rPr>
                <w:rFonts w:ascii="Times New Roman" w:hAnsi="Times New Roman"/>
                <w:sz w:val="18"/>
                <w:szCs w:val="18"/>
              </w:rPr>
            </w:pPr>
          </w:p>
        </w:tc>
      </w:tr>
    </w:tbl>
    <w:p w14:paraId="79B270AD">
      <w:pPr>
        <w:pStyle w:val="58"/>
        <w:ind w:firstLine="360"/>
        <w:rPr>
          <w:rFonts w:ascii="Times New Roman"/>
          <w:sz w:val="18"/>
          <w:szCs w:val="18"/>
        </w:rPr>
      </w:pPr>
      <w:r>
        <w:rPr>
          <w:rFonts w:ascii="Times New Roman"/>
          <w:sz w:val="18"/>
          <w:szCs w:val="18"/>
        </w:rPr>
        <w:t>记    录：            校    核：           项目负责：             填表日期：      年     月     日</w:t>
      </w:r>
    </w:p>
    <w:p w14:paraId="3D5A2CF0">
      <w:pPr>
        <w:pStyle w:val="58"/>
        <w:ind w:firstLine="360"/>
        <w:rPr>
          <w:rFonts w:ascii="Times New Roman"/>
          <w:sz w:val="18"/>
          <w:szCs w:val="18"/>
        </w:rPr>
      </w:pPr>
    </w:p>
    <w:p w14:paraId="09977FEC">
      <w:pPr>
        <w:pStyle w:val="58"/>
        <w:ind w:firstLine="360"/>
        <w:rPr>
          <w:rFonts w:ascii="Times New Roman"/>
          <w:sz w:val="18"/>
          <w:szCs w:val="18"/>
        </w:rPr>
      </w:pPr>
    </w:p>
    <w:p w14:paraId="3C7B6EBD">
      <w:pPr>
        <w:pStyle w:val="58"/>
        <w:ind w:firstLine="360"/>
        <w:rPr>
          <w:rFonts w:ascii="Times New Roman"/>
          <w:sz w:val="18"/>
          <w:szCs w:val="18"/>
        </w:rPr>
      </w:pPr>
    </w:p>
    <w:p w14:paraId="281994A4">
      <w:pPr>
        <w:pStyle w:val="58"/>
        <w:ind w:firstLine="360"/>
        <w:rPr>
          <w:rFonts w:ascii="Times New Roman"/>
          <w:sz w:val="18"/>
          <w:szCs w:val="18"/>
        </w:rPr>
      </w:pPr>
    </w:p>
    <w:p w14:paraId="5EE31174">
      <w:pPr>
        <w:pStyle w:val="58"/>
        <w:ind w:firstLine="360"/>
        <w:rPr>
          <w:rFonts w:ascii="Times New Roman"/>
          <w:sz w:val="18"/>
          <w:szCs w:val="18"/>
        </w:rPr>
      </w:pPr>
    </w:p>
    <w:p w14:paraId="69B68548">
      <w:pPr>
        <w:pStyle w:val="58"/>
        <w:ind w:firstLine="360"/>
        <w:rPr>
          <w:rFonts w:ascii="Times New Roman"/>
          <w:sz w:val="18"/>
          <w:szCs w:val="18"/>
        </w:rPr>
      </w:pPr>
    </w:p>
    <w:p w14:paraId="2F7601F6">
      <w:pPr>
        <w:pStyle w:val="79"/>
        <w:spacing w:before="156" w:after="156"/>
      </w:pPr>
      <w:r>
        <w:rPr>
          <w:rFonts w:hint="eastAsia"/>
        </w:rPr>
        <w:t>泥石流及隐患调查记录表</w:t>
      </w:r>
    </w:p>
    <w:tbl>
      <w:tblPr>
        <w:tblStyle w:val="28"/>
        <w:tblW w:w="9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
        <w:gridCol w:w="711"/>
        <w:gridCol w:w="646"/>
        <w:gridCol w:w="142"/>
        <w:gridCol w:w="151"/>
        <w:gridCol w:w="475"/>
        <w:gridCol w:w="471"/>
        <w:gridCol w:w="109"/>
        <w:gridCol w:w="223"/>
        <w:gridCol w:w="611"/>
        <w:gridCol w:w="486"/>
        <w:gridCol w:w="465"/>
        <w:gridCol w:w="274"/>
        <w:gridCol w:w="340"/>
        <w:gridCol w:w="259"/>
        <w:gridCol w:w="73"/>
        <w:gridCol w:w="424"/>
        <w:gridCol w:w="322"/>
        <w:gridCol w:w="188"/>
        <w:gridCol w:w="565"/>
        <w:gridCol w:w="57"/>
        <w:gridCol w:w="319"/>
        <w:gridCol w:w="7"/>
        <w:gridCol w:w="431"/>
        <w:gridCol w:w="293"/>
        <w:gridCol w:w="228"/>
        <w:gridCol w:w="942"/>
      </w:tblGrid>
      <w:tr w14:paraId="253FA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gridSpan w:val="2"/>
            <w:vAlign w:val="center"/>
          </w:tcPr>
          <w:p w14:paraId="70BA500E">
            <w:pPr>
              <w:spacing w:line="240" w:lineRule="auto"/>
              <w:jc w:val="center"/>
              <w:rPr>
                <w:rFonts w:ascii="宋体" w:hAnsi="宋体" w:cs="宋体"/>
                <w:sz w:val="18"/>
                <w:szCs w:val="18"/>
              </w:rPr>
            </w:pPr>
            <w:r>
              <w:rPr>
                <w:rFonts w:hint="eastAsia" w:ascii="宋体" w:hAnsi="宋体" w:cs="宋体"/>
                <w:sz w:val="18"/>
                <w:szCs w:val="18"/>
              </w:rPr>
              <w:t>统一编号</w:t>
            </w:r>
          </w:p>
        </w:tc>
        <w:tc>
          <w:tcPr>
            <w:tcW w:w="3314" w:type="dxa"/>
            <w:gridSpan w:val="9"/>
            <w:vAlign w:val="center"/>
          </w:tcPr>
          <w:p w14:paraId="369E1F19">
            <w:pPr>
              <w:spacing w:line="240" w:lineRule="auto"/>
              <w:rPr>
                <w:rFonts w:ascii="宋体" w:hAnsi="宋体" w:cs="宋体"/>
                <w:sz w:val="18"/>
                <w:szCs w:val="18"/>
              </w:rPr>
            </w:pPr>
          </w:p>
        </w:tc>
        <w:tc>
          <w:tcPr>
            <w:tcW w:w="1338" w:type="dxa"/>
            <w:gridSpan w:val="4"/>
            <w:vAlign w:val="center"/>
          </w:tcPr>
          <w:p w14:paraId="6B1BDF37">
            <w:pPr>
              <w:spacing w:line="240" w:lineRule="auto"/>
              <w:rPr>
                <w:rFonts w:ascii="宋体" w:hAnsi="宋体" w:cs="宋体"/>
                <w:sz w:val="18"/>
                <w:szCs w:val="18"/>
              </w:rPr>
            </w:pPr>
            <w:r>
              <w:rPr>
                <w:rFonts w:hint="eastAsia" w:ascii="宋体" w:hAnsi="宋体" w:cs="宋体"/>
                <w:sz w:val="18"/>
                <w:szCs w:val="18"/>
              </w:rPr>
              <w:t>野外编号</w:t>
            </w:r>
          </w:p>
        </w:tc>
        <w:tc>
          <w:tcPr>
            <w:tcW w:w="3849" w:type="dxa"/>
            <w:gridSpan w:val="12"/>
            <w:vAlign w:val="center"/>
          </w:tcPr>
          <w:p w14:paraId="274F38B8">
            <w:pPr>
              <w:spacing w:line="240" w:lineRule="auto"/>
              <w:rPr>
                <w:rFonts w:ascii="宋体" w:hAnsi="宋体" w:cs="宋体"/>
                <w:sz w:val="18"/>
                <w:szCs w:val="18"/>
              </w:rPr>
            </w:pPr>
          </w:p>
        </w:tc>
      </w:tr>
      <w:tr w14:paraId="5A3B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gridSpan w:val="2"/>
            <w:vAlign w:val="center"/>
          </w:tcPr>
          <w:p w14:paraId="16306FE0">
            <w:pPr>
              <w:spacing w:line="240" w:lineRule="auto"/>
              <w:jc w:val="center"/>
              <w:rPr>
                <w:rFonts w:ascii="宋体" w:hAnsi="宋体" w:cs="宋体"/>
                <w:sz w:val="18"/>
                <w:szCs w:val="18"/>
              </w:rPr>
            </w:pPr>
            <w:r>
              <w:rPr>
                <w:rFonts w:hint="eastAsia" w:ascii="宋体" w:hAnsi="宋体" w:cs="宋体"/>
                <w:sz w:val="18"/>
                <w:szCs w:val="18"/>
              </w:rPr>
              <w:t>沟谷名称</w:t>
            </w:r>
          </w:p>
        </w:tc>
        <w:tc>
          <w:tcPr>
            <w:tcW w:w="8501" w:type="dxa"/>
            <w:gridSpan w:val="25"/>
            <w:vAlign w:val="center"/>
          </w:tcPr>
          <w:p w14:paraId="5B40A663">
            <w:pPr>
              <w:spacing w:line="240" w:lineRule="auto"/>
              <w:rPr>
                <w:rFonts w:ascii="宋体" w:hAnsi="宋体" w:cs="宋体"/>
                <w:sz w:val="18"/>
                <w:szCs w:val="18"/>
              </w:rPr>
            </w:pPr>
          </w:p>
        </w:tc>
      </w:tr>
      <w:tr w14:paraId="7B4C3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gridSpan w:val="2"/>
            <w:vAlign w:val="center"/>
          </w:tcPr>
          <w:p w14:paraId="4AA9F7D4">
            <w:pPr>
              <w:spacing w:line="240" w:lineRule="auto"/>
              <w:jc w:val="center"/>
              <w:rPr>
                <w:rFonts w:ascii="宋体" w:hAnsi="宋体" w:cs="宋体"/>
                <w:sz w:val="18"/>
                <w:szCs w:val="18"/>
              </w:rPr>
            </w:pPr>
            <w:r>
              <w:rPr>
                <w:rFonts w:hint="eastAsia" w:ascii="宋体" w:hAnsi="宋体" w:cs="宋体"/>
                <w:sz w:val="18"/>
                <w:szCs w:val="18"/>
              </w:rPr>
              <w:t>地理位置</w:t>
            </w:r>
          </w:p>
        </w:tc>
        <w:tc>
          <w:tcPr>
            <w:tcW w:w="8501" w:type="dxa"/>
            <w:gridSpan w:val="25"/>
            <w:vAlign w:val="center"/>
          </w:tcPr>
          <w:p w14:paraId="75954A31">
            <w:pPr>
              <w:spacing w:line="240" w:lineRule="auto"/>
              <w:jc w:val="right"/>
              <w:rPr>
                <w:rFonts w:ascii="宋体" w:hAnsi="宋体" w:cs="宋体"/>
                <w:sz w:val="18"/>
                <w:szCs w:val="18"/>
              </w:rPr>
            </w:pPr>
            <w:r>
              <w:rPr>
                <w:rFonts w:ascii="Times New Roman" w:hAnsi="Times New Roman"/>
                <w:sz w:val="18"/>
                <w:szCs w:val="18"/>
              </w:rPr>
              <w:t xml:space="preserve">省      </w:t>
            </w:r>
            <w:r>
              <w:rPr>
                <w:rFonts w:hint="eastAsia" w:ascii="Times New Roman" w:hAnsi="Times New Roman"/>
                <w:sz w:val="18"/>
                <w:szCs w:val="18"/>
              </w:rPr>
              <w:t xml:space="preserve"> </w:t>
            </w:r>
            <w:r>
              <w:rPr>
                <w:rFonts w:ascii="Times New Roman" w:hAnsi="Times New Roman"/>
                <w:sz w:val="18"/>
                <w:szCs w:val="18"/>
              </w:rPr>
              <w:t xml:space="preserve">   市         县（市、区）          乡          村             组</w:t>
            </w:r>
          </w:p>
        </w:tc>
      </w:tr>
      <w:tr w14:paraId="1DA8E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gridSpan w:val="2"/>
            <w:vMerge w:val="restart"/>
            <w:vAlign w:val="center"/>
          </w:tcPr>
          <w:p w14:paraId="355755C0">
            <w:pPr>
              <w:spacing w:line="240" w:lineRule="auto"/>
              <w:jc w:val="center"/>
              <w:rPr>
                <w:rFonts w:ascii="宋体" w:hAnsi="宋体" w:cs="宋体"/>
                <w:sz w:val="18"/>
                <w:szCs w:val="18"/>
              </w:rPr>
            </w:pPr>
            <w:r>
              <w:rPr>
                <w:rFonts w:hint="eastAsia" w:ascii="宋体" w:hAnsi="宋体" w:cs="宋体"/>
                <w:sz w:val="18"/>
                <w:szCs w:val="18"/>
              </w:rPr>
              <w:t>坐标</w:t>
            </w:r>
          </w:p>
        </w:tc>
        <w:tc>
          <w:tcPr>
            <w:tcW w:w="1994" w:type="dxa"/>
            <w:gridSpan w:val="6"/>
            <w:vAlign w:val="center"/>
          </w:tcPr>
          <w:p w14:paraId="72817A71">
            <w:pPr>
              <w:spacing w:line="240" w:lineRule="auto"/>
              <w:jc w:val="center"/>
              <w:rPr>
                <w:rFonts w:ascii="宋体" w:hAnsi="宋体" w:cs="宋体"/>
                <w:sz w:val="18"/>
                <w:szCs w:val="18"/>
              </w:rPr>
            </w:pPr>
            <w:r>
              <w:rPr>
                <w:rFonts w:hint="eastAsia" w:ascii="宋体" w:hAnsi="宋体" w:cs="宋体"/>
                <w:sz w:val="18"/>
                <w:szCs w:val="18"/>
              </w:rPr>
              <w:t>经度</w:t>
            </w:r>
          </w:p>
        </w:tc>
        <w:tc>
          <w:tcPr>
            <w:tcW w:w="2658" w:type="dxa"/>
            <w:gridSpan w:val="7"/>
            <w:vAlign w:val="center"/>
          </w:tcPr>
          <w:p w14:paraId="6C433D21">
            <w:pPr>
              <w:spacing w:line="240" w:lineRule="auto"/>
              <w:jc w:val="center"/>
              <w:rPr>
                <w:rFonts w:ascii="宋体" w:hAnsi="宋体" w:cs="宋体"/>
                <w:sz w:val="18"/>
                <w:szCs w:val="18"/>
              </w:rPr>
            </w:pPr>
            <w:r>
              <w:rPr>
                <w:rFonts w:hint="eastAsia" w:ascii="宋体" w:hAnsi="宋体" w:cs="宋体"/>
                <w:sz w:val="18"/>
                <w:szCs w:val="18"/>
              </w:rPr>
              <w:t>°        ′       ″</w:t>
            </w:r>
          </w:p>
        </w:tc>
        <w:tc>
          <w:tcPr>
            <w:tcW w:w="1629" w:type="dxa"/>
            <w:gridSpan w:val="6"/>
            <w:vAlign w:val="center"/>
          </w:tcPr>
          <w:p w14:paraId="6A8D1365">
            <w:pPr>
              <w:spacing w:line="240" w:lineRule="auto"/>
              <w:jc w:val="center"/>
              <w:rPr>
                <w:rFonts w:ascii="宋体" w:hAnsi="宋体" w:cs="宋体"/>
                <w:sz w:val="18"/>
                <w:szCs w:val="18"/>
              </w:rPr>
            </w:pPr>
            <w:r>
              <w:rPr>
                <w:rFonts w:hint="eastAsia" w:ascii="宋体" w:hAnsi="宋体" w:cs="宋体"/>
                <w:sz w:val="18"/>
                <w:szCs w:val="18"/>
              </w:rPr>
              <w:t>纬度</w:t>
            </w:r>
          </w:p>
        </w:tc>
        <w:tc>
          <w:tcPr>
            <w:tcW w:w="2220" w:type="dxa"/>
            <w:gridSpan w:val="6"/>
            <w:vAlign w:val="center"/>
          </w:tcPr>
          <w:p w14:paraId="412E05FF">
            <w:pPr>
              <w:spacing w:line="240" w:lineRule="auto"/>
              <w:jc w:val="center"/>
              <w:rPr>
                <w:rFonts w:ascii="宋体" w:hAnsi="宋体" w:cs="宋体"/>
                <w:sz w:val="18"/>
                <w:szCs w:val="18"/>
              </w:rPr>
            </w:pPr>
            <w:r>
              <w:rPr>
                <w:rFonts w:hint="eastAsia" w:ascii="宋体" w:hAnsi="宋体" w:cs="宋体"/>
                <w:sz w:val="18"/>
                <w:szCs w:val="18"/>
              </w:rPr>
              <w:t>°        ′       ″</w:t>
            </w:r>
          </w:p>
        </w:tc>
      </w:tr>
      <w:tr w14:paraId="48158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gridSpan w:val="2"/>
            <w:vMerge w:val="continue"/>
            <w:vAlign w:val="center"/>
          </w:tcPr>
          <w:p w14:paraId="74D5E05B">
            <w:pPr>
              <w:spacing w:line="240" w:lineRule="auto"/>
              <w:jc w:val="center"/>
              <w:rPr>
                <w:rFonts w:ascii="宋体" w:hAnsi="宋体" w:cs="宋体"/>
                <w:sz w:val="18"/>
                <w:szCs w:val="18"/>
              </w:rPr>
            </w:pPr>
          </w:p>
        </w:tc>
        <w:tc>
          <w:tcPr>
            <w:tcW w:w="1994" w:type="dxa"/>
            <w:gridSpan w:val="6"/>
            <w:vAlign w:val="center"/>
          </w:tcPr>
          <w:p w14:paraId="4C0D0A87">
            <w:pPr>
              <w:spacing w:line="240" w:lineRule="auto"/>
              <w:jc w:val="center"/>
              <w:rPr>
                <w:rFonts w:ascii="宋体" w:hAnsi="宋体" w:cs="宋体"/>
                <w:sz w:val="18"/>
                <w:szCs w:val="18"/>
              </w:rPr>
            </w:pPr>
            <w:r>
              <w:rPr>
                <w:rFonts w:hint="eastAsia" w:ascii="宋体" w:hAnsi="宋体" w:cs="宋体"/>
                <w:sz w:val="18"/>
                <w:szCs w:val="18"/>
              </w:rPr>
              <w:t>X</w:t>
            </w:r>
          </w:p>
        </w:tc>
        <w:tc>
          <w:tcPr>
            <w:tcW w:w="2658" w:type="dxa"/>
            <w:gridSpan w:val="7"/>
            <w:vAlign w:val="center"/>
          </w:tcPr>
          <w:p w14:paraId="2B59C678">
            <w:pPr>
              <w:spacing w:line="240" w:lineRule="auto"/>
              <w:jc w:val="center"/>
              <w:rPr>
                <w:rFonts w:ascii="宋体" w:hAnsi="宋体" w:cs="宋体"/>
                <w:sz w:val="18"/>
                <w:szCs w:val="18"/>
              </w:rPr>
            </w:pPr>
          </w:p>
        </w:tc>
        <w:tc>
          <w:tcPr>
            <w:tcW w:w="1629" w:type="dxa"/>
            <w:gridSpan w:val="6"/>
            <w:vAlign w:val="center"/>
          </w:tcPr>
          <w:p w14:paraId="2E1FB2E0">
            <w:pPr>
              <w:spacing w:line="240" w:lineRule="auto"/>
              <w:jc w:val="center"/>
              <w:rPr>
                <w:rFonts w:ascii="宋体" w:hAnsi="宋体" w:cs="宋体"/>
                <w:sz w:val="18"/>
                <w:szCs w:val="18"/>
              </w:rPr>
            </w:pPr>
            <w:r>
              <w:rPr>
                <w:rFonts w:hint="eastAsia" w:ascii="宋体" w:hAnsi="宋体" w:cs="宋体"/>
                <w:sz w:val="18"/>
                <w:szCs w:val="18"/>
              </w:rPr>
              <w:t>Y</w:t>
            </w:r>
          </w:p>
        </w:tc>
        <w:tc>
          <w:tcPr>
            <w:tcW w:w="2220" w:type="dxa"/>
            <w:gridSpan w:val="6"/>
            <w:vAlign w:val="center"/>
          </w:tcPr>
          <w:p w14:paraId="111E0795">
            <w:pPr>
              <w:spacing w:line="240" w:lineRule="auto"/>
              <w:jc w:val="center"/>
              <w:rPr>
                <w:rFonts w:ascii="宋体" w:hAnsi="宋体" w:cs="宋体"/>
                <w:sz w:val="18"/>
                <w:szCs w:val="18"/>
              </w:rPr>
            </w:pPr>
          </w:p>
        </w:tc>
      </w:tr>
      <w:tr w14:paraId="5831D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7" w:hRule="atLeast"/>
          <w:jc w:val="center"/>
        </w:trPr>
        <w:tc>
          <w:tcPr>
            <w:tcW w:w="1141" w:type="dxa"/>
            <w:gridSpan w:val="2"/>
            <w:vAlign w:val="center"/>
          </w:tcPr>
          <w:p w14:paraId="7D1687F4">
            <w:pPr>
              <w:spacing w:line="240" w:lineRule="auto"/>
              <w:jc w:val="center"/>
              <w:rPr>
                <w:rFonts w:ascii="Times New Roman" w:hAnsi="Times New Roman"/>
                <w:sz w:val="18"/>
                <w:szCs w:val="18"/>
              </w:rPr>
            </w:pPr>
            <w:r>
              <w:rPr>
                <w:rFonts w:ascii="Times New Roman" w:hAnsi="Times New Roman"/>
                <w:sz w:val="18"/>
                <w:szCs w:val="18"/>
              </w:rPr>
              <w:t>物质组成</w:t>
            </w:r>
          </w:p>
        </w:tc>
        <w:tc>
          <w:tcPr>
            <w:tcW w:w="1994" w:type="dxa"/>
            <w:gridSpan w:val="6"/>
            <w:vAlign w:val="center"/>
          </w:tcPr>
          <w:p w14:paraId="646A98C5">
            <w:pPr>
              <w:spacing w:line="240" w:lineRule="auto"/>
              <w:rPr>
                <w:rFonts w:ascii="Times New Roman" w:hAnsi="Times New Roman"/>
                <w:sz w:val="18"/>
                <w:szCs w:val="18"/>
              </w:rPr>
            </w:pPr>
            <w:r>
              <w:rPr>
                <w:rFonts w:ascii="Times New Roman" w:hAnsi="Times New Roman"/>
                <w:sz w:val="18"/>
                <w:szCs w:val="18"/>
              </w:rPr>
              <w:t>□泥石流  □水石流</w:t>
            </w:r>
          </w:p>
          <w:p w14:paraId="6873A497">
            <w:pPr>
              <w:spacing w:line="240" w:lineRule="auto"/>
              <w:rPr>
                <w:rFonts w:ascii="Times New Roman" w:hAnsi="Times New Roman"/>
                <w:sz w:val="18"/>
                <w:szCs w:val="18"/>
              </w:rPr>
            </w:pPr>
            <w:r>
              <w:rPr>
                <w:rFonts w:ascii="Times New Roman" w:hAnsi="Times New Roman"/>
                <w:sz w:val="18"/>
                <w:szCs w:val="18"/>
              </w:rPr>
              <w:t xml:space="preserve">□泥流 </w:t>
            </w:r>
          </w:p>
        </w:tc>
        <w:tc>
          <w:tcPr>
            <w:tcW w:w="834" w:type="dxa"/>
            <w:gridSpan w:val="2"/>
            <w:vAlign w:val="center"/>
          </w:tcPr>
          <w:p w14:paraId="377E2BB1">
            <w:pPr>
              <w:spacing w:line="240" w:lineRule="auto"/>
              <w:jc w:val="center"/>
              <w:rPr>
                <w:rFonts w:ascii="Times New Roman" w:hAnsi="Times New Roman"/>
                <w:sz w:val="18"/>
                <w:szCs w:val="18"/>
              </w:rPr>
            </w:pPr>
            <w:r>
              <w:rPr>
                <w:rFonts w:ascii="Times New Roman" w:hAnsi="Times New Roman"/>
                <w:sz w:val="18"/>
                <w:szCs w:val="18"/>
              </w:rPr>
              <w:t>物源补给方式</w:t>
            </w:r>
          </w:p>
        </w:tc>
        <w:tc>
          <w:tcPr>
            <w:tcW w:w="5673" w:type="dxa"/>
            <w:gridSpan w:val="17"/>
            <w:vAlign w:val="center"/>
          </w:tcPr>
          <w:p w14:paraId="7E5F0249">
            <w:pPr>
              <w:spacing w:line="240" w:lineRule="auto"/>
              <w:ind w:left="180" w:hanging="180" w:hangingChars="100"/>
              <w:rPr>
                <w:rFonts w:ascii="Times New Roman" w:hAnsi="Times New Roman"/>
                <w:sz w:val="18"/>
                <w:szCs w:val="18"/>
              </w:rPr>
            </w:pPr>
            <w:r>
              <w:rPr>
                <w:rFonts w:ascii="Times New Roman" w:hAnsi="Times New Roman"/>
                <w:sz w:val="18"/>
                <w:szCs w:val="18"/>
              </w:rPr>
              <w:t xml:space="preserve">□坡面侵蚀  □沟岸崩塌滑坡    □沟床侵蚀 </w:t>
            </w:r>
          </w:p>
          <w:p w14:paraId="1DE79452">
            <w:pPr>
              <w:spacing w:line="240" w:lineRule="auto"/>
              <w:ind w:left="180" w:hanging="180" w:hangingChars="100"/>
              <w:rPr>
                <w:rFonts w:ascii="Times New Roman" w:hAnsi="Times New Roman"/>
                <w:sz w:val="18"/>
                <w:szCs w:val="18"/>
                <w:u w:val="single"/>
              </w:rPr>
            </w:pPr>
            <w:r>
              <w:rPr>
                <w:rFonts w:ascii="Times New Roman" w:hAnsi="Times New Roman"/>
                <w:sz w:val="18"/>
                <w:szCs w:val="18"/>
              </w:rPr>
              <w:t>□坝体堵溃  □远程滑坡        □其他：</w:t>
            </w:r>
            <w:r>
              <w:rPr>
                <w:rFonts w:ascii="Times New Roman" w:hAnsi="Times New Roman"/>
                <w:sz w:val="18"/>
                <w:szCs w:val="18"/>
                <w:u w:val="single"/>
              </w:rPr>
              <w:t xml:space="preserve">            </w:t>
            </w:r>
          </w:p>
        </w:tc>
      </w:tr>
      <w:tr w14:paraId="7CCFF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6" w:hRule="atLeast"/>
          <w:jc w:val="center"/>
        </w:trPr>
        <w:tc>
          <w:tcPr>
            <w:tcW w:w="430" w:type="dxa"/>
            <w:vMerge w:val="restart"/>
            <w:vAlign w:val="center"/>
          </w:tcPr>
          <w:p w14:paraId="0A8D7FD3">
            <w:pPr>
              <w:spacing w:line="240" w:lineRule="auto"/>
              <w:jc w:val="center"/>
              <w:rPr>
                <w:rFonts w:ascii="Times New Roman" w:hAnsi="Times New Roman"/>
                <w:sz w:val="18"/>
                <w:szCs w:val="18"/>
              </w:rPr>
            </w:pPr>
            <w:r>
              <w:rPr>
                <w:rFonts w:ascii="Times New Roman" w:hAnsi="Times New Roman"/>
                <w:sz w:val="18"/>
                <w:szCs w:val="18"/>
              </w:rPr>
              <w:t>高程</w:t>
            </w:r>
          </w:p>
        </w:tc>
        <w:tc>
          <w:tcPr>
            <w:tcW w:w="711" w:type="dxa"/>
            <w:vAlign w:val="center"/>
          </w:tcPr>
          <w:p w14:paraId="716D6C95">
            <w:pPr>
              <w:spacing w:line="240" w:lineRule="auto"/>
              <w:jc w:val="center"/>
              <w:rPr>
                <w:rFonts w:ascii="Times New Roman" w:hAnsi="Times New Roman"/>
                <w:sz w:val="18"/>
                <w:szCs w:val="18"/>
              </w:rPr>
            </w:pPr>
            <w:r>
              <w:rPr>
                <w:rFonts w:ascii="Times New Roman" w:hAnsi="Times New Roman"/>
                <w:sz w:val="18"/>
                <w:szCs w:val="18"/>
              </w:rPr>
              <w:t>沟口</w:t>
            </w:r>
          </w:p>
        </w:tc>
        <w:tc>
          <w:tcPr>
            <w:tcW w:w="646" w:type="dxa"/>
            <w:vAlign w:val="center"/>
          </w:tcPr>
          <w:p w14:paraId="0DEB9368">
            <w:pPr>
              <w:spacing w:line="240" w:lineRule="auto"/>
              <w:jc w:val="right"/>
              <w:rPr>
                <w:rFonts w:ascii="Times New Roman" w:hAnsi="Times New Roman"/>
                <w:sz w:val="18"/>
                <w:szCs w:val="18"/>
              </w:rPr>
            </w:pPr>
            <w:r>
              <w:rPr>
                <w:rFonts w:ascii="Times New Roman" w:hAnsi="Times New Roman"/>
                <w:sz w:val="18"/>
                <w:szCs w:val="18"/>
              </w:rPr>
              <w:t>m</w:t>
            </w:r>
          </w:p>
        </w:tc>
        <w:tc>
          <w:tcPr>
            <w:tcW w:w="768" w:type="dxa"/>
            <w:gridSpan w:val="3"/>
            <w:vMerge w:val="restart"/>
            <w:vAlign w:val="center"/>
          </w:tcPr>
          <w:p w14:paraId="2182B940">
            <w:pPr>
              <w:spacing w:line="240" w:lineRule="auto"/>
              <w:jc w:val="center"/>
              <w:rPr>
                <w:rFonts w:ascii="Times New Roman" w:hAnsi="Times New Roman"/>
                <w:sz w:val="18"/>
                <w:szCs w:val="18"/>
              </w:rPr>
            </w:pPr>
            <w:r>
              <w:rPr>
                <w:rFonts w:ascii="Times New Roman" w:hAnsi="Times New Roman"/>
                <w:sz w:val="18"/>
                <w:szCs w:val="18"/>
              </w:rPr>
              <w:t>沟长</w:t>
            </w:r>
          </w:p>
        </w:tc>
        <w:tc>
          <w:tcPr>
            <w:tcW w:w="580" w:type="dxa"/>
            <w:gridSpan w:val="2"/>
            <w:vMerge w:val="restart"/>
            <w:vAlign w:val="center"/>
          </w:tcPr>
          <w:p w14:paraId="2F099621">
            <w:pPr>
              <w:spacing w:line="240" w:lineRule="auto"/>
              <w:jc w:val="right"/>
              <w:rPr>
                <w:rFonts w:ascii="Times New Roman" w:hAnsi="Times New Roman"/>
                <w:sz w:val="18"/>
                <w:szCs w:val="18"/>
              </w:rPr>
            </w:pPr>
            <w:r>
              <w:rPr>
                <w:rFonts w:ascii="Times New Roman" w:hAnsi="Times New Roman"/>
                <w:sz w:val="18"/>
                <w:szCs w:val="18"/>
              </w:rPr>
              <w:t>m</w:t>
            </w:r>
          </w:p>
        </w:tc>
        <w:tc>
          <w:tcPr>
            <w:tcW w:w="834" w:type="dxa"/>
            <w:gridSpan w:val="2"/>
            <w:vMerge w:val="restart"/>
            <w:vAlign w:val="center"/>
          </w:tcPr>
          <w:p w14:paraId="1DD14D93">
            <w:pPr>
              <w:spacing w:line="240" w:lineRule="auto"/>
              <w:jc w:val="center"/>
              <w:rPr>
                <w:rFonts w:ascii="Times New Roman" w:hAnsi="Times New Roman"/>
                <w:sz w:val="18"/>
                <w:szCs w:val="18"/>
              </w:rPr>
            </w:pPr>
            <w:r>
              <w:rPr>
                <w:rFonts w:ascii="Times New Roman" w:hAnsi="Times New Roman"/>
                <w:sz w:val="18"/>
                <w:szCs w:val="18"/>
              </w:rPr>
              <w:t>水源</w:t>
            </w:r>
          </w:p>
          <w:p w14:paraId="0199D53A">
            <w:pPr>
              <w:spacing w:line="240" w:lineRule="auto"/>
              <w:jc w:val="center"/>
              <w:rPr>
                <w:rFonts w:ascii="Times New Roman" w:hAnsi="Times New Roman"/>
                <w:sz w:val="18"/>
                <w:szCs w:val="18"/>
              </w:rPr>
            </w:pPr>
            <w:r>
              <w:rPr>
                <w:rFonts w:ascii="Times New Roman" w:hAnsi="Times New Roman"/>
                <w:sz w:val="18"/>
                <w:szCs w:val="18"/>
              </w:rPr>
              <w:t>类型</w:t>
            </w:r>
          </w:p>
        </w:tc>
        <w:tc>
          <w:tcPr>
            <w:tcW w:w="5673" w:type="dxa"/>
            <w:gridSpan w:val="17"/>
            <w:vMerge w:val="restart"/>
            <w:vAlign w:val="center"/>
          </w:tcPr>
          <w:p w14:paraId="0595B6DD">
            <w:pPr>
              <w:spacing w:line="240" w:lineRule="auto"/>
              <w:rPr>
                <w:rFonts w:ascii="Times New Roman" w:hAnsi="Times New Roman"/>
                <w:sz w:val="18"/>
                <w:szCs w:val="18"/>
              </w:rPr>
            </w:pPr>
            <w:r>
              <w:rPr>
                <w:rFonts w:ascii="Times New Roman" w:hAnsi="Times New Roman"/>
                <w:sz w:val="18"/>
                <w:szCs w:val="18"/>
              </w:rPr>
              <w:t>□暴雨型  □溃决型  □冰雪融水型  □泉水型</w:t>
            </w:r>
          </w:p>
          <w:p w14:paraId="5B94F6E1">
            <w:pPr>
              <w:spacing w:line="240" w:lineRule="auto"/>
              <w:rPr>
                <w:rFonts w:ascii="Times New Roman" w:hAnsi="Times New Roman"/>
                <w:sz w:val="18"/>
                <w:szCs w:val="18"/>
              </w:rPr>
            </w:pPr>
            <w:r>
              <w:rPr>
                <w:rFonts w:ascii="Times New Roman" w:hAnsi="Times New Roman"/>
                <w:sz w:val="18"/>
                <w:szCs w:val="18"/>
              </w:rPr>
              <w:t>□其他：</w:t>
            </w:r>
            <w:r>
              <w:rPr>
                <w:rFonts w:ascii="Times New Roman" w:hAnsi="Times New Roman"/>
                <w:sz w:val="18"/>
                <w:szCs w:val="18"/>
                <w:u w:val="single"/>
              </w:rPr>
              <w:t xml:space="preserve">           </w:t>
            </w:r>
          </w:p>
        </w:tc>
      </w:tr>
      <w:tr w14:paraId="1D31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430" w:type="dxa"/>
            <w:vMerge w:val="continue"/>
            <w:vAlign w:val="center"/>
          </w:tcPr>
          <w:p w14:paraId="521F1DC6">
            <w:pPr>
              <w:spacing w:line="240" w:lineRule="auto"/>
              <w:jc w:val="center"/>
              <w:rPr>
                <w:rFonts w:ascii="Times New Roman" w:hAnsi="Times New Roman"/>
                <w:sz w:val="18"/>
                <w:szCs w:val="18"/>
              </w:rPr>
            </w:pPr>
          </w:p>
        </w:tc>
        <w:tc>
          <w:tcPr>
            <w:tcW w:w="711" w:type="dxa"/>
            <w:vAlign w:val="center"/>
          </w:tcPr>
          <w:p w14:paraId="0EC60362">
            <w:pPr>
              <w:spacing w:line="240" w:lineRule="auto"/>
              <w:jc w:val="center"/>
              <w:rPr>
                <w:rFonts w:ascii="Times New Roman" w:hAnsi="Times New Roman"/>
                <w:sz w:val="18"/>
                <w:szCs w:val="18"/>
              </w:rPr>
            </w:pPr>
            <w:r>
              <w:rPr>
                <w:rFonts w:ascii="Times New Roman" w:hAnsi="Times New Roman"/>
                <w:sz w:val="18"/>
                <w:szCs w:val="18"/>
              </w:rPr>
              <w:t>沟顶</w:t>
            </w:r>
          </w:p>
        </w:tc>
        <w:tc>
          <w:tcPr>
            <w:tcW w:w="646" w:type="dxa"/>
            <w:vAlign w:val="center"/>
          </w:tcPr>
          <w:p w14:paraId="5D7C80E5">
            <w:pPr>
              <w:spacing w:line="240" w:lineRule="auto"/>
              <w:jc w:val="right"/>
              <w:rPr>
                <w:rFonts w:ascii="Times New Roman" w:hAnsi="Times New Roman"/>
                <w:sz w:val="18"/>
                <w:szCs w:val="18"/>
              </w:rPr>
            </w:pPr>
            <w:r>
              <w:rPr>
                <w:rFonts w:ascii="Times New Roman" w:hAnsi="Times New Roman"/>
                <w:sz w:val="18"/>
                <w:szCs w:val="18"/>
              </w:rPr>
              <w:t>m</w:t>
            </w:r>
          </w:p>
        </w:tc>
        <w:tc>
          <w:tcPr>
            <w:tcW w:w="768" w:type="dxa"/>
            <w:gridSpan w:val="3"/>
            <w:vMerge w:val="continue"/>
            <w:vAlign w:val="center"/>
          </w:tcPr>
          <w:p w14:paraId="0C69B72C">
            <w:pPr>
              <w:spacing w:line="240" w:lineRule="auto"/>
              <w:ind w:firstLine="1260" w:firstLineChars="700"/>
              <w:rPr>
                <w:rFonts w:ascii="Times New Roman" w:hAnsi="Times New Roman"/>
                <w:sz w:val="18"/>
                <w:szCs w:val="18"/>
              </w:rPr>
            </w:pPr>
          </w:p>
        </w:tc>
        <w:tc>
          <w:tcPr>
            <w:tcW w:w="580" w:type="dxa"/>
            <w:gridSpan w:val="2"/>
            <w:vMerge w:val="continue"/>
            <w:vAlign w:val="center"/>
          </w:tcPr>
          <w:p w14:paraId="4EA4CEA0">
            <w:pPr>
              <w:spacing w:line="240" w:lineRule="auto"/>
              <w:ind w:firstLine="1260" w:firstLineChars="700"/>
              <w:rPr>
                <w:rFonts w:ascii="Times New Roman" w:hAnsi="Times New Roman"/>
                <w:sz w:val="18"/>
                <w:szCs w:val="18"/>
              </w:rPr>
            </w:pPr>
          </w:p>
        </w:tc>
        <w:tc>
          <w:tcPr>
            <w:tcW w:w="834" w:type="dxa"/>
            <w:gridSpan w:val="2"/>
            <w:vMerge w:val="continue"/>
            <w:vAlign w:val="center"/>
          </w:tcPr>
          <w:p w14:paraId="2397C072">
            <w:pPr>
              <w:spacing w:line="240" w:lineRule="auto"/>
              <w:jc w:val="center"/>
              <w:rPr>
                <w:rFonts w:ascii="Times New Roman" w:hAnsi="Times New Roman"/>
                <w:sz w:val="18"/>
                <w:szCs w:val="18"/>
              </w:rPr>
            </w:pPr>
          </w:p>
        </w:tc>
        <w:tc>
          <w:tcPr>
            <w:tcW w:w="5673" w:type="dxa"/>
            <w:gridSpan w:val="17"/>
            <w:vMerge w:val="continue"/>
            <w:vAlign w:val="center"/>
          </w:tcPr>
          <w:p w14:paraId="0FBE939C">
            <w:pPr>
              <w:spacing w:line="240" w:lineRule="auto"/>
              <w:rPr>
                <w:rFonts w:ascii="Times New Roman" w:hAnsi="Times New Roman"/>
                <w:sz w:val="18"/>
                <w:szCs w:val="18"/>
              </w:rPr>
            </w:pPr>
          </w:p>
        </w:tc>
      </w:tr>
      <w:tr w14:paraId="5801C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41" w:type="dxa"/>
            <w:gridSpan w:val="2"/>
            <w:vMerge w:val="restart"/>
            <w:vAlign w:val="center"/>
          </w:tcPr>
          <w:p w14:paraId="0CEF8242">
            <w:pPr>
              <w:spacing w:line="240" w:lineRule="auto"/>
              <w:jc w:val="center"/>
              <w:rPr>
                <w:rFonts w:ascii="Times New Roman" w:hAnsi="Times New Roman"/>
                <w:sz w:val="18"/>
                <w:szCs w:val="18"/>
              </w:rPr>
            </w:pPr>
            <w:r>
              <w:rPr>
                <w:rFonts w:ascii="Times New Roman" w:hAnsi="Times New Roman"/>
                <w:sz w:val="18"/>
                <w:szCs w:val="18"/>
              </w:rPr>
              <w:t>沟口扇形地特征</w:t>
            </w:r>
          </w:p>
        </w:tc>
        <w:tc>
          <w:tcPr>
            <w:tcW w:w="1414" w:type="dxa"/>
            <w:gridSpan w:val="4"/>
            <w:vAlign w:val="center"/>
          </w:tcPr>
          <w:p w14:paraId="5B64D50C">
            <w:pPr>
              <w:spacing w:line="240" w:lineRule="auto"/>
              <w:jc w:val="center"/>
              <w:rPr>
                <w:rFonts w:ascii="Times New Roman" w:hAnsi="Times New Roman"/>
                <w:sz w:val="18"/>
                <w:szCs w:val="18"/>
              </w:rPr>
            </w:pPr>
            <w:r>
              <w:rPr>
                <w:rFonts w:ascii="Times New Roman" w:hAnsi="Times New Roman"/>
                <w:sz w:val="18"/>
                <w:szCs w:val="18"/>
              </w:rPr>
              <w:t>扇形地完整性（%）</w:t>
            </w:r>
          </w:p>
        </w:tc>
        <w:tc>
          <w:tcPr>
            <w:tcW w:w="1414" w:type="dxa"/>
            <w:gridSpan w:val="4"/>
            <w:vAlign w:val="center"/>
          </w:tcPr>
          <w:p w14:paraId="464E1A9B">
            <w:pPr>
              <w:spacing w:line="240" w:lineRule="auto"/>
              <w:jc w:val="center"/>
              <w:rPr>
                <w:rFonts w:ascii="Times New Roman" w:hAnsi="Times New Roman"/>
                <w:sz w:val="18"/>
                <w:szCs w:val="18"/>
              </w:rPr>
            </w:pPr>
          </w:p>
        </w:tc>
        <w:tc>
          <w:tcPr>
            <w:tcW w:w="1565" w:type="dxa"/>
            <w:gridSpan w:val="4"/>
            <w:vAlign w:val="center"/>
          </w:tcPr>
          <w:p w14:paraId="3D5F7FB4">
            <w:pPr>
              <w:spacing w:line="240" w:lineRule="auto"/>
              <w:jc w:val="center"/>
              <w:rPr>
                <w:rFonts w:ascii="Times New Roman" w:hAnsi="Times New Roman"/>
                <w:sz w:val="18"/>
                <w:szCs w:val="18"/>
              </w:rPr>
            </w:pPr>
            <w:r>
              <w:rPr>
                <w:rFonts w:ascii="Times New Roman" w:hAnsi="Times New Roman"/>
                <w:sz w:val="18"/>
                <w:szCs w:val="18"/>
              </w:rPr>
              <w:t>扇顶至扇缘主轴坡降（‰）</w:t>
            </w:r>
          </w:p>
        </w:tc>
        <w:tc>
          <w:tcPr>
            <w:tcW w:w="1078" w:type="dxa"/>
            <w:gridSpan w:val="4"/>
            <w:vAlign w:val="center"/>
          </w:tcPr>
          <w:p w14:paraId="13B2FC9A">
            <w:pPr>
              <w:spacing w:line="240" w:lineRule="auto"/>
              <w:jc w:val="center"/>
              <w:rPr>
                <w:rFonts w:ascii="Times New Roman" w:hAnsi="Times New Roman"/>
                <w:sz w:val="18"/>
                <w:szCs w:val="18"/>
              </w:rPr>
            </w:pPr>
          </w:p>
        </w:tc>
        <w:tc>
          <w:tcPr>
            <w:tcW w:w="1567" w:type="dxa"/>
            <w:gridSpan w:val="6"/>
            <w:vAlign w:val="center"/>
          </w:tcPr>
          <w:p w14:paraId="54915C1D">
            <w:pPr>
              <w:spacing w:line="240" w:lineRule="auto"/>
              <w:jc w:val="center"/>
              <w:rPr>
                <w:rFonts w:ascii="Times New Roman" w:hAnsi="Times New Roman"/>
                <w:sz w:val="18"/>
                <w:szCs w:val="18"/>
              </w:rPr>
            </w:pPr>
            <w:r>
              <w:rPr>
                <w:rFonts w:ascii="Times New Roman" w:hAnsi="Times New Roman"/>
                <w:sz w:val="18"/>
                <w:szCs w:val="18"/>
              </w:rPr>
              <w:t>扇面发展趋势</w:t>
            </w:r>
          </w:p>
        </w:tc>
        <w:tc>
          <w:tcPr>
            <w:tcW w:w="1463" w:type="dxa"/>
            <w:gridSpan w:val="3"/>
            <w:vAlign w:val="center"/>
          </w:tcPr>
          <w:p w14:paraId="678798E7">
            <w:pPr>
              <w:spacing w:line="240" w:lineRule="auto"/>
              <w:jc w:val="center"/>
              <w:rPr>
                <w:rFonts w:ascii="Times New Roman" w:hAnsi="Times New Roman"/>
                <w:sz w:val="18"/>
                <w:szCs w:val="18"/>
              </w:rPr>
            </w:pPr>
            <w:r>
              <w:rPr>
                <w:rFonts w:ascii="Times New Roman" w:hAnsi="Times New Roman"/>
                <w:sz w:val="18"/>
                <w:szCs w:val="18"/>
              </w:rPr>
              <w:t>□淤高□下切</w:t>
            </w:r>
          </w:p>
        </w:tc>
      </w:tr>
      <w:tr w14:paraId="70816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41" w:type="dxa"/>
            <w:gridSpan w:val="2"/>
            <w:vMerge w:val="continue"/>
            <w:vAlign w:val="center"/>
          </w:tcPr>
          <w:p w14:paraId="56C8943B">
            <w:pPr>
              <w:spacing w:line="240" w:lineRule="auto"/>
              <w:jc w:val="right"/>
              <w:rPr>
                <w:rFonts w:ascii="Times New Roman" w:hAnsi="Times New Roman"/>
                <w:sz w:val="18"/>
                <w:szCs w:val="18"/>
              </w:rPr>
            </w:pPr>
          </w:p>
        </w:tc>
        <w:tc>
          <w:tcPr>
            <w:tcW w:w="788" w:type="dxa"/>
            <w:gridSpan w:val="2"/>
            <w:vAlign w:val="center"/>
          </w:tcPr>
          <w:p w14:paraId="67EB74AC">
            <w:pPr>
              <w:spacing w:line="240" w:lineRule="auto"/>
              <w:jc w:val="center"/>
              <w:rPr>
                <w:rFonts w:ascii="Times New Roman" w:hAnsi="Times New Roman"/>
                <w:sz w:val="18"/>
                <w:szCs w:val="18"/>
              </w:rPr>
            </w:pPr>
            <w:r>
              <w:rPr>
                <w:rFonts w:ascii="Times New Roman" w:hAnsi="Times New Roman"/>
                <w:sz w:val="18"/>
                <w:szCs w:val="18"/>
              </w:rPr>
              <w:t>扇长（m）</w:t>
            </w:r>
          </w:p>
        </w:tc>
        <w:tc>
          <w:tcPr>
            <w:tcW w:w="626" w:type="dxa"/>
            <w:gridSpan w:val="2"/>
            <w:vAlign w:val="center"/>
          </w:tcPr>
          <w:p w14:paraId="4EE7D123">
            <w:pPr>
              <w:spacing w:line="240" w:lineRule="auto"/>
              <w:jc w:val="center"/>
              <w:rPr>
                <w:rFonts w:ascii="Times New Roman" w:hAnsi="Times New Roman"/>
                <w:sz w:val="18"/>
                <w:szCs w:val="18"/>
              </w:rPr>
            </w:pPr>
            <w:r>
              <w:rPr>
                <w:rFonts w:ascii="Times New Roman" w:hAnsi="Times New Roman"/>
                <w:sz w:val="18"/>
                <w:szCs w:val="18"/>
              </w:rPr>
              <w:t xml:space="preserve"> </w:t>
            </w:r>
          </w:p>
        </w:tc>
        <w:tc>
          <w:tcPr>
            <w:tcW w:w="803" w:type="dxa"/>
            <w:gridSpan w:val="3"/>
            <w:vAlign w:val="center"/>
          </w:tcPr>
          <w:p w14:paraId="2E4EFFB6">
            <w:pPr>
              <w:spacing w:line="240" w:lineRule="auto"/>
              <w:jc w:val="center"/>
              <w:rPr>
                <w:rFonts w:ascii="Times New Roman" w:hAnsi="Times New Roman"/>
                <w:sz w:val="18"/>
                <w:szCs w:val="18"/>
              </w:rPr>
            </w:pPr>
            <w:r>
              <w:rPr>
                <w:rFonts w:ascii="Times New Roman" w:hAnsi="Times New Roman"/>
                <w:sz w:val="18"/>
                <w:szCs w:val="18"/>
              </w:rPr>
              <w:t>扇宽（m）</w:t>
            </w:r>
          </w:p>
        </w:tc>
        <w:tc>
          <w:tcPr>
            <w:tcW w:w="611" w:type="dxa"/>
            <w:vAlign w:val="center"/>
          </w:tcPr>
          <w:p w14:paraId="27B4B459">
            <w:pPr>
              <w:spacing w:line="240" w:lineRule="auto"/>
              <w:jc w:val="center"/>
              <w:rPr>
                <w:rFonts w:ascii="Times New Roman" w:hAnsi="Times New Roman"/>
                <w:sz w:val="18"/>
                <w:szCs w:val="18"/>
              </w:rPr>
            </w:pPr>
          </w:p>
        </w:tc>
        <w:tc>
          <w:tcPr>
            <w:tcW w:w="1565" w:type="dxa"/>
            <w:gridSpan w:val="4"/>
            <w:vAlign w:val="center"/>
          </w:tcPr>
          <w:p w14:paraId="5A777BE5">
            <w:pPr>
              <w:spacing w:line="240" w:lineRule="auto"/>
              <w:jc w:val="center"/>
              <w:rPr>
                <w:rFonts w:ascii="Times New Roman" w:hAnsi="Times New Roman"/>
                <w:sz w:val="18"/>
                <w:szCs w:val="18"/>
              </w:rPr>
            </w:pPr>
            <w:r>
              <w:rPr>
                <w:rFonts w:ascii="Times New Roman" w:hAnsi="Times New Roman"/>
                <w:sz w:val="18"/>
                <w:szCs w:val="18"/>
              </w:rPr>
              <w:t>扩散角（º）</w:t>
            </w:r>
          </w:p>
        </w:tc>
        <w:tc>
          <w:tcPr>
            <w:tcW w:w="1078" w:type="dxa"/>
            <w:gridSpan w:val="4"/>
            <w:vAlign w:val="center"/>
          </w:tcPr>
          <w:p w14:paraId="34D8D78F">
            <w:pPr>
              <w:spacing w:line="240" w:lineRule="auto"/>
              <w:jc w:val="center"/>
              <w:rPr>
                <w:rFonts w:ascii="Times New Roman" w:hAnsi="Times New Roman"/>
                <w:sz w:val="18"/>
                <w:szCs w:val="18"/>
              </w:rPr>
            </w:pPr>
          </w:p>
        </w:tc>
        <w:tc>
          <w:tcPr>
            <w:tcW w:w="1567" w:type="dxa"/>
            <w:gridSpan w:val="6"/>
            <w:vAlign w:val="center"/>
          </w:tcPr>
          <w:p w14:paraId="7DD25AD8">
            <w:pPr>
              <w:pStyle w:val="180"/>
              <w:rPr>
                <w:rFonts w:ascii="Times New Roman"/>
                <w:szCs w:val="18"/>
              </w:rPr>
            </w:pPr>
            <w:r>
              <w:rPr>
                <w:rFonts w:ascii="Times New Roman"/>
                <w:szCs w:val="18"/>
              </w:rPr>
              <w:t>沟口至主河道距离（m）</w:t>
            </w:r>
          </w:p>
        </w:tc>
        <w:tc>
          <w:tcPr>
            <w:tcW w:w="1463" w:type="dxa"/>
            <w:gridSpan w:val="3"/>
            <w:vAlign w:val="center"/>
          </w:tcPr>
          <w:p w14:paraId="09F3FEC4">
            <w:pPr>
              <w:spacing w:line="240" w:lineRule="auto"/>
              <w:jc w:val="center"/>
              <w:rPr>
                <w:rFonts w:ascii="Times New Roman" w:hAnsi="Times New Roman"/>
                <w:sz w:val="18"/>
                <w:szCs w:val="18"/>
              </w:rPr>
            </w:pPr>
          </w:p>
        </w:tc>
      </w:tr>
      <w:tr w14:paraId="4736B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41" w:type="dxa"/>
            <w:gridSpan w:val="2"/>
            <w:vMerge w:val="restart"/>
            <w:vAlign w:val="center"/>
          </w:tcPr>
          <w:p w14:paraId="2F5BC40E">
            <w:pPr>
              <w:spacing w:line="240" w:lineRule="auto"/>
              <w:jc w:val="center"/>
              <w:rPr>
                <w:rFonts w:ascii="Times New Roman" w:hAnsi="Times New Roman"/>
                <w:sz w:val="18"/>
                <w:szCs w:val="18"/>
              </w:rPr>
            </w:pPr>
            <w:r>
              <w:rPr>
                <w:rFonts w:ascii="Times New Roman" w:hAnsi="Times New Roman"/>
                <w:sz w:val="18"/>
                <w:szCs w:val="18"/>
              </w:rPr>
              <w:t>土地利用情况（%）</w:t>
            </w:r>
          </w:p>
        </w:tc>
        <w:tc>
          <w:tcPr>
            <w:tcW w:w="939" w:type="dxa"/>
            <w:gridSpan w:val="3"/>
            <w:vAlign w:val="center"/>
          </w:tcPr>
          <w:p w14:paraId="6E7D0EA5">
            <w:pPr>
              <w:spacing w:line="240" w:lineRule="auto"/>
              <w:jc w:val="center"/>
              <w:rPr>
                <w:rFonts w:ascii="Times New Roman" w:hAnsi="Times New Roman"/>
                <w:sz w:val="18"/>
                <w:szCs w:val="18"/>
              </w:rPr>
            </w:pPr>
            <w:r>
              <w:rPr>
                <w:rFonts w:ascii="Times New Roman" w:hAnsi="Times New Roman"/>
                <w:sz w:val="18"/>
                <w:szCs w:val="18"/>
              </w:rPr>
              <w:t>缓坡耕地</w:t>
            </w:r>
          </w:p>
        </w:tc>
        <w:tc>
          <w:tcPr>
            <w:tcW w:w="946" w:type="dxa"/>
            <w:gridSpan w:val="2"/>
            <w:vAlign w:val="center"/>
          </w:tcPr>
          <w:p w14:paraId="4EA7CDAC">
            <w:pPr>
              <w:spacing w:line="240" w:lineRule="auto"/>
              <w:jc w:val="center"/>
              <w:rPr>
                <w:rFonts w:ascii="Times New Roman" w:hAnsi="Times New Roman"/>
                <w:sz w:val="18"/>
                <w:szCs w:val="18"/>
              </w:rPr>
            </w:pPr>
            <w:r>
              <w:rPr>
                <w:rFonts w:ascii="Times New Roman" w:hAnsi="Times New Roman"/>
                <w:sz w:val="18"/>
                <w:szCs w:val="18"/>
              </w:rPr>
              <w:t>陡坡耕地</w:t>
            </w:r>
          </w:p>
        </w:tc>
        <w:tc>
          <w:tcPr>
            <w:tcW w:w="943" w:type="dxa"/>
            <w:gridSpan w:val="3"/>
            <w:vAlign w:val="center"/>
          </w:tcPr>
          <w:p w14:paraId="168A1189">
            <w:pPr>
              <w:spacing w:line="240" w:lineRule="auto"/>
              <w:jc w:val="center"/>
              <w:rPr>
                <w:rFonts w:ascii="Times New Roman" w:hAnsi="Times New Roman"/>
                <w:sz w:val="18"/>
                <w:szCs w:val="18"/>
              </w:rPr>
            </w:pPr>
            <w:r>
              <w:rPr>
                <w:rFonts w:ascii="Times New Roman" w:hAnsi="Times New Roman"/>
                <w:sz w:val="18"/>
                <w:szCs w:val="18"/>
              </w:rPr>
              <w:t>乔木林地</w:t>
            </w:r>
          </w:p>
        </w:tc>
        <w:tc>
          <w:tcPr>
            <w:tcW w:w="951" w:type="dxa"/>
            <w:gridSpan w:val="2"/>
            <w:vAlign w:val="center"/>
          </w:tcPr>
          <w:p w14:paraId="49CF6446">
            <w:pPr>
              <w:spacing w:line="240" w:lineRule="auto"/>
              <w:jc w:val="center"/>
              <w:rPr>
                <w:rFonts w:ascii="Times New Roman" w:hAnsi="Times New Roman"/>
                <w:sz w:val="18"/>
                <w:szCs w:val="18"/>
              </w:rPr>
            </w:pPr>
            <w:r>
              <w:rPr>
                <w:rFonts w:ascii="Times New Roman" w:hAnsi="Times New Roman"/>
                <w:sz w:val="18"/>
                <w:szCs w:val="18"/>
              </w:rPr>
              <w:t>乔灌木</w:t>
            </w:r>
          </w:p>
        </w:tc>
        <w:tc>
          <w:tcPr>
            <w:tcW w:w="946" w:type="dxa"/>
            <w:gridSpan w:val="4"/>
            <w:vAlign w:val="center"/>
          </w:tcPr>
          <w:p w14:paraId="3446B16A">
            <w:pPr>
              <w:spacing w:line="240" w:lineRule="auto"/>
              <w:jc w:val="center"/>
              <w:rPr>
                <w:rFonts w:ascii="Times New Roman" w:hAnsi="Times New Roman"/>
                <w:sz w:val="18"/>
                <w:szCs w:val="18"/>
              </w:rPr>
            </w:pPr>
            <w:r>
              <w:rPr>
                <w:rFonts w:ascii="Times New Roman" w:hAnsi="Times New Roman"/>
                <w:sz w:val="18"/>
                <w:szCs w:val="18"/>
              </w:rPr>
              <w:t>灌丛</w:t>
            </w:r>
          </w:p>
        </w:tc>
        <w:tc>
          <w:tcPr>
            <w:tcW w:w="934" w:type="dxa"/>
            <w:gridSpan w:val="3"/>
            <w:vAlign w:val="center"/>
          </w:tcPr>
          <w:p w14:paraId="1710FD23">
            <w:pPr>
              <w:spacing w:line="240" w:lineRule="auto"/>
              <w:jc w:val="center"/>
              <w:rPr>
                <w:rFonts w:ascii="Times New Roman" w:hAnsi="Times New Roman"/>
                <w:sz w:val="18"/>
                <w:szCs w:val="18"/>
              </w:rPr>
            </w:pPr>
            <w:r>
              <w:rPr>
                <w:rFonts w:ascii="Times New Roman" w:hAnsi="Times New Roman"/>
                <w:sz w:val="18"/>
                <w:szCs w:val="18"/>
              </w:rPr>
              <w:t>草地</w:t>
            </w:r>
          </w:p>
        </w:tc>
        <w:tc>
          <w:tcPr>
            <w:tcW w:w="948" w:type="dxa"/>
            <w:gridSpan w:val="4"/>
            <w:vAlign w:val="center"/>
          </w:tcPr>
          <w:p w14:paraId="01CBE217">
            <w:pPr>
              <w:spacing w:line="240" w:lineRule="auto"/>
              <w:jc w:val="center"/>
              <w:rPr>
                <w:rFonts w:ascii="Times New Roman" w:hAnsi="Times New Roman"/>
                <w:sz w:val="18"/>
                <w:szCs w:val="18"/>
              </w:rPr>
            </w:pPr>
            <w:r>
              <w:rPr>
                <w:rFonts w:ascii="Times New Roman" w:hAnsi="Times New Roman"/>
                <w:sz w:val="18"/>
                <w:szCs w:val="18"/>
              </w:rPr>
              <w:t>荒地</w:t>
            </w:r>
          </w:p>
        </w:tc>
        <w:tc>
          <w:tcPr>
            <w:tcW w:w="952" w:type="dxa"/>
            <w:gridSpan w:val="3"/>
            <w:vAlign w:val="center"/>
          </w:tcPr>
          <w:p w14:paraId="05AD2C94">
            <w:pPr>
              <w:spacing w:line="240" w:lineRule="auto"/>
              <w:jc w:val="center"/>
              <w:rPr>
                <w:rFonts w:ascii="Times New Roman" w:hAnsi="Times New Roman"/>
                <w:sz w:val="18"/>
                <w:szCs w:val="18"/>
              </w:rPr>
            </w:pPr>
            <w:r>
              <w:rPr>
                <w:rFonts w:ascii="Times New Roman" w:hAnsi="Times New Roman"/>
                <w:sz w:val="18"/>
                <w:szCs w:val="18"/>
              </w:rPr>
              <w:t>建筑用地</w:t>
            </w:r>
          </w:p>
        </w:tc>
        <w:tc>
          <w:tcPr>
            <w:tcW w:w="942" w:type="dxa"/>
            <w:vAlign w:val="center"/>
          </w:tcPr>
          <w:p w14:paraId="5F93E14A">
            <w:pPr>
              <w:spacing w:line="240" w:lineRule="auto"/>
              <w:jc w:val="center"/>
              <w:rPr>
                <w:rFonts w:ascii="Times New Roman" w:hAnsi="Times New Roman"/>
                <w:sz w:val="18"/>
                <w:szCs w:val="18"/>
              </w:rPr>
            </w:pPr>
            <w:r>
              <w:rPr>
                <w:rFonts w:ascii="Times New Roman" w:hAnsi="Times New Roman"/>
                <w:sz w:val="18"/>
                <w:szCs w:val="18"/>
              </w:rPr>
              <w:t>其他</w:t>
            </w:r>
          </w:p>
        </w:tc>
      </w:tr>
      <w:tr w14:paraId="1F47F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09" w:hRule="atLeast"/>
          <w:jc w:val="center"/>
        </w:trPr>
        <w:tc>
          <w:tcPr>
            <w:tcW w:w="1141" w:type="dxa"/>
            <w:gridSpan w:val="2"/>
            <w:vMerge w:val="continue"/>
            <w:vAlign w:val="center"/>
          </w:tcPr>
          <w:p w14:paraId="18D27AF0">
            <w:pPr>
              <w:spacing w:line="240" w:lineRule="auto"/>
              <w:jc w:val="center"/>
              <w:rPr>
                <w:rFonts w:ascii="Times New Roman" w:hAnsi="Times New Roman"/>
                <w:sz w:val="18"/>
                <w:szCs w:val="18"/>
              </w:rPr>
            </w:pPr>
          </w:p>
        </w:tc>
        <w:tc>
          <w:tcPr>
            <w:tcW w:w="939" w:type="dxa"/>
            <w:gridSpan w:val="3"/>
            <w:vAlign w:val="center"/>
          </w:tcPr>
          <w:p w14:paraId="5DC30401">
            <w:pPr>
              <w:spacing w:line="240" w:lineRule="auto"/>
              <w:jc w:val="center"/>
              <w:rPr>
                <w:rFonts w:ascii="Times New Roman" w:hAnsi="Times New Roman"/>
                <w:sz w:val="18"/>
                <w:szCs w:val="18"/>
              </w:rPr>
            </w:pPr>
          </w:p>
        </w:tc>
        <w:tc>
          <w:tcPr>
            <w:tcW w:w="946" w:type="dxa"/>
            <w:gridSpan w:val="2"/>
            <w:vAlign w:val="center"/>
          </w:tcPr>
          <w:p w14:paraId="1D7D8AC2">
            <w:pPr>
              <w:spacing w:line="240" w:lineRule="auto"/>
              <w:jc w:val="center"/>
              <w:rPr>
                <w:rFonts w:ascii="Times New Roman" w:hAnsi="Times New Roman"/>
                <w:sz w:val="18"/>
                <w:szCs w:val="18"/>
              </w:rPr>
            </w:pPr>
          </w:p>
        </w:tc>
        <w:tc>
          <w:tcPr>
            <w:tcW w:w="943" w:type="dxa"/>
            <w:gridSpan w:val="3"/>
            <w:vAlign w:val="center"/>
          </w:tcPr>
          <w:p w14:paraId="7440F9A2">
            <w:pPr>
              <w:spacing w:line="240" w:lineRule="auto"/>
              <w:jc w:val="center"/>
              <w:rPr>
                <w:rFonts w:ascii="Times New Roman" w:hAnsi="Times New Roman"/>
                <w:sz w:val="18"/>
                <w:szCs w:val="18"/>
              </w:rPr>
            </w:pPr>
          </w:p>
        </w:tc>
        <w:tc>
          <w:tcPr>
            <w:tcW w:w="951" w:type="dxa"/>
            <w:gridSpan w:val="2"/>
            <w:vAlign w:val="center"/>
          </w:tcPr>
          <w:p w14:paraId="7BB5AECA">
            <w:pPr>
              <w:spacing w:line="240" w:lineRule="auto"/>
              <w:jc w:val="center"/>
              <w:rPr>
                <w:rFonts w:ascii="Times New Roman" w:hAnsi="Times New Roman"/>
                <w:sz w:val="18"/>
                <w:szCs w:val="18"/>
              </w:rPr>
            </w:pPr>
          </w:p>
        </w:tc>
        <w:tc>
          <w:tcPr>
            <w:tcW w:w="946" w:type="dxa"/>
            <w:gridSpan w:val="4"/>
            <w:vAlign w:val="center"/>
          </w:tcPr>
          <w:p w14:paraId="03FF6DCD">
            <w:pPr>
              <w:spacing w:line="240" w:lineRule="auto"/>
              <w:jc w:val="center"/>
              <w:rPr>
                <w:rFonts w:ascii="Times New Roman" w:hAnsi="Times New Roman"/>
                <w:sz w:val="18"/>
                <w:szCs w:val="18"/>
              </w:rPr>
            </w:pPr>
          </w:p>
        </w:tc>
        <w:tc>
          <w:tcPr>
            <w:tcW w:w="934" w:type="dxa"/>
            <w:gridSpan w:val="3"/>
            <w:vAlign w:val="center"/>
          </w:tcPr>
          <w:p w14:paraId="79241308">
            <w:pPr>
              <w:spacing w:line="240" w:lineRule="auto"/>
              <w:jc w:val="center"/>
              <w:rPr>
                <w:rFonts w:ascii="Times New Roman" w:hAnsi="Times New Roman"/>
                <w:sz w:val="18"/>
                <w:szCs w:val="18"/>
              </w:rPr>
            </w:pPr>
          </w:p>
        </w:tc>
        <w:tc>
          <w:tcPr>
            <w:tcW w:w="948" w:type="dxa"/>
            <w:gridSpan w:val="4"/>
            <w:vAlign w:val="center"/>
          </w:tcPr>
          <w:p w14:paraId="77FB17A2">
            <w:pPr>
              <w:spacing w:line="240" w:lineRule="auto"/>
              <w:jc w:val="center"/>
              <w:rPr>
                <w:rFonts w:ascii="Times New Roman" w:hAnsi="Times New Roman"/>
                <w:sz w:val="18"/>
                <w:szCs w:val="18"/>
              </w:rPr>
            </w:pPr>
          </w:p>
        </w:tc>
        <w:tc>
          <w:tcPr>
            <w:tcW w:w="952" w:type="dxa"/>
            <w:gridSpan w:val="3"/>
            <w:vAlign w:val="center"/>
          </w:tcPr>
          <w:p w14:paraId="76C69A42">
            <w:pPr>
              <w:spacing w:line="240" w:lineRule="auto"/>
              <w:jc w:val="center"/>
              <w:rPr>
                <w:rFonts w:ascii="Times New Roman" w:hAnsi="Times New Roman"/>
                <w:sz w:val="18"/>
                <w:szCs w:val="18"/>
              </w:rPr>
            </w:pPr>
          </w:p>
        </w:tc>
        <w:tc>
          <w:tcPr>
            <w:tcW w:w="942" w:type="dxa"/>
            <w:vAlign w:val="center"/>
          </w:tcPr>
          <w:p w14:paraId="3C18D248">
            <w:pPr>
              <w:spacing w:line="240" w:lineRule="auto"/>
              <w:jc w:val="center"/>
              <w:rPr>
                <w:rFonts w:ascii="Times New Roman" w:hAnsi="Times New Roman"/>
                <w:sz w:val="18"/>
                <w:szCs w:val="18"/>
              </w:rPr>
            </w:pPr>
          </w:p>
        </w:tc>
      </w:tr>
      <w:tr w14:paraId="2D8FC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gridSpan w:val="2"/>
            <w:vAlign w:val="center"/>
          </w:tcPr>
          <w:p w14:paraId="277C0A8D">
            <w:pPr>
              <w:pStyle w:val="180"/>
              <w:rPr>
                <w:rFonts w:ascii="Times New Roman"/>
                <w:szCs w:val="18"/>
              </w:rPr>
            </w:pPr>
            <w:r>
              <w:rPr>
                <w:rFonts w:ascii="Times New Roman"/>
                <w:szCs w:val="18"/>
              </w:rPr>
              <w:t>泥石流最大冲出方量（m</w:t>
            </w:r>
            <w:r>
              <w:rPr>
                <w:rFonts w:ascii="Times New Roman"/>
                <w:szCs w:val="18"/>
                <w:vertAlign w:val="superscript"/>
              </w:rPr>
              <w:t>3</w:t>
            </w:r>
            <w:r>
              <w:rPr>
                <w:rFonts w:ascii="Times New Roman"/>
                <w:szCs w:val="18"/>
              </w:rPr>
              <w:t>）</w:t>
            </w:r>
          </w:p>
        </w:tc>
        <w:tc>
          <w:tcPr>
            <w:tcW w:w="1414" w:type="dxa"/>
            <w:gridSpan w:val="4"/>
            <w:vAlign w:val="center"/>
          </w:tcPr>
          <w:p w14:paraId="5CAD79D8">
            <w:pPr>
              <w:spacing w:line="240" w:lineRule="auto"/>
              <w:jc w:val="center"/>
              <w:rPr>
                <w:rFonts w:ascii="Times New Roman" w:hAnsi="Times New Roman"/>
                <w:sz w:val="18"/>
                <w:szCs w:val="18"/>
              </w:rPr>
            </w:pPr>
          </w:p>
        </w:tc>
        <w:tc>
          <w:tcPr>
            <w:tcW w:w="1414" w:type="dxa"/>
            <w:gridSpan w:val="4"/>
            <w:vAlign w:val="center"/>
          </w:tcPr>
          <w:p w14:paraId="06283D45">
            <w:pPr>
              <w:spacing w:line="240" w:lineRule="auto"/>
              <w:jc w:val="center"/>
              <w:rPr>
                <w:rFonts w:ascii="Times New Roman" w:hAnsi="Times New Roman"/>
                <w:sz w:val="18"/>
                <w:szCs w:val="18"/>
              </w:rPr>
            </w:pPr>
            <w:r>
              <w:rPr>
                <w:rFonts w:ascii="Times New Roman" w:hAnsi="Times New Roman"/>
                <w:sz w:val="18"/>
                <w:szCs w:val="18"/>
              </w:rPr>
              <w:t>堆积区泥位（m）</w:t>
            </w:r>
          </w:p>
        </w:tc>
        <w:tc>
          <w:tcPr>
            <w:tcW w:w="1565" w:type="dxa"/>
            <w:gridSpan w:val="4"/>
            <w:vAlign w:val="center"/>
          </w:tcPr>
          <w:p w14:paraId="50C345D3">
            <w:pPr>
              <w:spacing w:line="240" w:lineRule="auto"/>
              <w:rPr>
                <w:rFonts w:ascii="Times New Roman" w:hAnsi="Times New Roman"/>
                <w:sz w:val="18"/>
                <w:szCs w:val="18"/>
              </w:rPr>
            </w:pPr>
          </w:p>
        </w:tc>
        <w:tc>
          <w:tcPr>
            <w:tcW w:w="1266" w:type="dxa"/>
            <w:gridSpan w:val="5"/>
            <w:vAlign w:val="center"/>
          </w:tcPr>
          <w:p w14:paraId="6E5A8D9C">
            <w:pPr>
              <w:spacing w:line="240" w:lineRule="auto"/>
              <w:rPr>
                <w:rFonts w:ascii="Times New Roman" w:hAnsi="Times New Roman"/>
                <w:sz w:val="18"/>
                <w:szCs w:val="18"/>
              </w:rPr>
            </w:pPr>
            <w:r>
              <w:rPr>
                <w:rFonts w:ascii="Times New Roman" w:hAnsi="Times New Roman"/>
                <w:sz w:val="18"/>
                <w:szCs w:val="18"/>
              </w:rPr>
              <w:t>规模等级</w:t>
            </w:r>
          </w:p>
        </w:tc>
        <w:tc>
          <w:tcPr>
            <w:tcW w:w="941" w:type="dxa"/>
            <w:gridSpan w:val="3"/>
            <w:vAlign w:val="center"/>
          </w:tcPr>
          <w:p w14:paraId="22F79156">
            <w:pPr>
              <w:spacing w:line="240" w:lineRule="auto"/>
              <w:rPr>
                <w:rFonts w:ascii="Times New Roman" w:hAnsi="Times New Roman"/>
                <w:sz w:val="18"/>
                <w:szCs w:val="18"/>
              </w:rPr>
            </w:pPr>
            <w:r>
              <w:rPr>
                <w:rFonts w:ascii="Times New Roman" w:hAnsi="Times New Roman"/>
                <w:sz w:val="18"/>
                <w:szCs w:val="18"/>
              </w:rPr>
              <w:t xml:space="preserve">□特大型 □大型 </w:t>
            </w:r>
          </w:p>
          <w:p w14:paraId="0E8F46DE">
            <w:pPr>
              <w:widowControl/>
              <w:spacing w:line="240" w:lineRule="auto"/>
              <w:rPr>
                <w:rFonts w:ascii="Times New Roman" w:hAnsi="Times New Roman"/>
                <w:sz w:val="18"/>
                <w:szCs w:val="18"/>
              </w:rPr>
            </w:pPr>
            <w:r>
              <w:rPr>
                <w:rFonts w:ascii="Times New Roman" w:hAnsi="Times New Roman"/>
                <w:sz w:val="18"/>
                <w:szCs w:val="18"/>
              </w:rPr>
              <w:t xml:space="preserve">□中型 </w:t>
            </w:r>
          </w:p>
          <w:p w14:paraId="299E7616">
            <w:pPr>
              <w:widowControl/>
              <w:spacing w:line="240" w:lineRule="auto"/>
              <w:rPr>
                <w:rFonts w:ascii="Times New Roman" w:hAnsi="Times New Roman"/>
                <w:sz w:val="18"/>
                <w:szCs w:val="18"/>
              </w:rPr>
            </w:pPr>
            <w:r>
              <w:rPr>
                <w:rFonts w:ascii="Times New Roman" w:hAnsi="Times New Roman"/>
                <w:sz w:val="18"/>
                <w:szCs w:val="18"/>
              </w:rPr>
              <w:t>□小型</w:t>
            </w:r>
          </w:p>
        </w:tc>
        <w:tc>
          <w:tcPr>
            <w:tcW w:w="959" w:type="dxa"/>
            <w:gridSpan w:val="4"/>
            <w:vAlign w:val="center"/>
          </w:tcPr>
          <w:p w14:paraId="3F24EFC0">
            <w:pPr>
              <w:spacing w:line="240" w:lineRule="auto"/>
              <w:jc w:val="center"/>
              <w:rPr>
                <w:rFonts w:ascii="Times New Roman" w:hAnsi="Times New Roman"/>
                <w:sz w:val="18"/>
                <w:szCs w:val="18"/>
              </w:rPr>
            </w:pPr>
            <w:r>
              <w:rPr>
                <w:rFonts w:ascii="Times New Roman" w:hAnsi="Times New Roman"/>
                <w:sz w:val="18"/>
                <w:szCs w:val="18"/>
              </w:rPr>
              <w:t>实体勾绘</w:t>
            </w:r>
          </w:p>
        </w:tc>
        <w:tc>
          <w:tcPr>
            <w:tcW w:w="942" w:type="dxa"/>
            <w:vAlign w:val="center"/>
          </w:tcPr>
          <w:p w14:paraId="070E76B7">
            <w:pPr>
              <w:spacing w:line="240" w:lineRule="auto"/>
              <w:jc w:val="center"/>
              <w:rPr>
                <w:rFonts w:ascii="Times New Roman" w:hAnsi="Times New Roman"/>
                <w:sz w:val="18"/>
                <w:szCs w:val="18"/>
              </w:rPr>
            </w:pPr>
            <w:r>
              <w:rPr>
                <w:rFonts w:ascii="Times New Roman" w:hAnsi="Times New Roman"/>
                <w:sz w:val="18"/>
                <w:szCs w:val="18"/>
              </w:rPr>
              <w:t>□是</w:t>
            </w:r>
          </w:p>
          <w:p w14:paraId="50ECF56A">
            <w:pPr>
              <w:spacing w:line="240" w:lineRule="auto"/>
              <w:jc w:val="center"/>
              <w:rPr>
                <w:rFonts w:ascii="Times New Roman" w:hAnsi="Times New Roman"/>
                <w:sz w:val="18"/>
                <w:szCs w:val="18"/>
              </w:rPr>
            </w:pPr>
            <w:r>
              <w:rPr>
                <w:rFonts w:ascii="Times New Roman" w:hAnsi="Times New Roman"/>
                <w:sz w:val="18"/>
                <w:szCs w:val="18"/>
              </w:rPr>
              <w:t>□否</w:t>
            </w:r>
          </w:p>
        </w:tc>
      </w:tr>
      <w:tr w14:paraId="54CD5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41" w:type="dxa"/>
            <w:gridSpan w:val="2"/>
            <w:vAlign w:val="center"/>
          </w:tcPr>
          <w:p w14:paraId="7ED5ABB3">
            <w:pPr>
              <w:pStyle w:val="180"/>
              <w:rPr>
                <w:rFonts w:ascii="Times New Roman"/>
                <w:szCs w:val="18"/>
              </w:rPr>
            </w:pPr>
            <w:r>
              <w:rPr>
                <w:rFonts w:ascii="Times New Roman"/>
                <w:szCs w:val="18"/>
              </w:rPr>
              <w:t>死亡人数</w:t>
            </w:r>
          </w:p>
          <w:p w14:paraId="6628E245">
            <w:pPr>
              <w:pStyle w:val="180"/>
              <w:rPr>
                <w:rFonts w:ascii="Times New Roman"/>
                <w:szCs w:val="18"/>
              </w:rPr>
            </w:pPr>
            <w:r>
              <w:rPr>
                <w:rFonts w:ascii="Times New Roman"/>
                <w:szCs w:val="18"/>
              </w:rPr>
              <w:t>（人）</w:t>
            </w:r>
          </w:p>
        </w:tc>
        <w:tc>
          <w:tcPr>
            <w:tcW w:w="1414" w:type="dxa"/>
            <w:gridSpan w:val="4"/>
            <w:vAlign w:val="center"/>
          </w:tcPr>
          <w:p w14:paraId="497D4ECD">
            <w:pPr>
              <w:spacing w:line="240" w:lineRule="auto"/>
              <w:jc w:val="right"/>
              <w:rPr>
                <w:rFonts w:ascii="Times New Roman" w:hAnsi="Times New Roman"/>
                <w:sz w:val="18"/>
                <w:szCs w:val="18"/>
              </w:rPr>
            </w:pPr>
          </w:p>
        </w:tc>
        <w:tc>
          <w:tcPr>
            <w:tcW w:w="1414" w:type="dxa"/>
            <w:gridSpan w:val="4"/>
            <w:vAlign w:val="center"/>
          </w:tcPr>
          <w:p w14:paraId="6744F13A">
            <w:pPr>
              <w:pStyle w:val="180"/>
              <w:rPr>
                <w:szCs w:val="22"/>
              </w:rPr>
            </w:pPr>
            <w:r>
              <w:rPr>
                <w:szCs w:val="22"/>
              </w:rPr>
              <w:t>直接损失</w:t>
            </w:r>
          </w:p>
          <w:p w14:paraId="5AE72758">
            <w:pPr>
              <w:pStyle w:val="180"/>
              <w:rPr>
                <w:rFonts w:ascii="Times New Roman"/>
                <w:szCs w:val="18"/>
              </w:rPr>
            </w:pPr>
            <w:r>
              <w:rPr>
                <w:szCs w:val="22"/>
              </w:rPr>
              <w:t>（万元）</w:t>
            </w:r>
          </w:p>
        </w:tc>
        <w:tc>
          <w:tcPr>
            <w:tcW w:w="1565" w:type="dxa"/>
            <w:gridSpan w:val="4"/>
            <w:vAlign w:val="center"/>
          </w:tcPr>
          <w:p w14:paraId="70DD3CAC">
            <w:pPr>
              <w:spacing w:line="240" w:lineRule="auto"/>
              <w:jc w:val="right"/>
              <w:rPr>
                <w:rFonts w:ascii="Times New Roman" w:hAnsi="Times New Roman"/>
                <w:sz w:val="18"/>
                <w:szCs w:val="18"/>
              </w:rPr>
            </w:pPr>
          </w:p>
        </w:tc>
        <w:tc>
          <w:tcPr>
            <w:tcW w:w="1266" w:type="dxa"/>
            <w:gridSpan w:val="5"/>
            <w:vAlign w:val="center"/>
          </w:tcPr>
          <w:p w14:paraId="726D8D4A">
            <w:pPr>
              <w:spacing w:line="240" w:lineRule="auto"/>
              <w:jc w:val="center"/>
              <w:rPr>
                <w:rFonts w:ascii="Times New Roman" w:hAnsi="Times New Roman"/>
                <w:sz w:val="18"/>
                <w:szCs w:val="18"/>
              </w:rPr>
            </w:pPr>
            <w:r>
              <w:rPr>
                <w:rFonts w:ascii="Times New Roman" w:hAnsi="Times New Roman"/>
                <w:sz w:val="18"/>
                <w:szCs w:val="18"/>
              </w:rPr>
              <w:t>灾情等级</w:t>
            </w:r>
          </w:p>
        </w:tc>
        <w:tc>
          <w:tcPr>
            <w:tcW w:w="2842" w:type="dxa"/>
            <w:gridSpan w:val="8"/>
            <w:vAlign w:val="center"/>
          </w:tcPr>
          <w:p w14:paraId="6FD244FE">
            <w:pPr>
              <w:spacing w:line="240" w:lineRule="auto"/>
              <w:jc w:val="center"/>
              <w:rPr>
                <w:rFonts w:ascii="Times New Roman" w:hAnsi="Times New Roman"/>
                <w:sz w:val="18"/>
                <w:szCs w:val="18"/>
              </w:rPr>
            </w:pPr>
            <w:r>
              <w:rPr>
                <w:rFonts w:ascii="Times New Roman" w:hAnsi="Times New Roman"/>
                <w:sz w:val="18"/>
                <w:szCs w:val="18"/>
              </w:rPr>
              <w:t>□特大型     □大型</w:t>
            </w:r>
          </w:p>
          <w:p w14:paraId="70ADC0E0">
            <w:pPr>
              <w:spacing w:line="240" w:lineRule="auto"/>
              <w:jc w:val="center"/>
              <w:rPr>
                <w:rFonts w:ascii="Times New Roman" w:hAnsi="Times New Roman"/>
                <w:sz w:val="18"/>
                <w:szCs w:val="18"/>
              </w:rPr>
            </w:pPr>
            <w:r>
              <w:rPr>
                <w:rFonts w:ascii="Times New Roman" w:hAnsi="Times New Roman"/>
                <w:sz w:val="18"/>
                <w:szCs w:val="18"/>
              </w:rPr>
              <w:t>□中型       □小型</w:t>
            </w:r>
          </w:p>
        </w:tc>
      </w:tr>
      <w:tr w14:paraId="6C3D8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1141" w:type="dxa"/>
            <w:gridSpan w:val="2"/>
            <w:vAlign w:val="center"/>
          </w:tcPr>
          <w:p w14:paraId="6426E7DB">
            <w:pPr>
              <w:pStyle w:val="180"/>
              <w:rPr>
                <w:rFonts w:ascii="Times New Roman"/>
                <w:szCs w:val="18"/>
              </w:rPr>
            </w:pPr>
            <w:r>
              <w:rPr>
                <w:rFonts w:ascii="Times New Roman"/>
                <w:szCs w:val="18"/>
              </w:rPr>
              <w:t>威胁人数</w:t>
            </w:r>
          </w:p>
          <w:p w14:paraId="4399A203">
            <w:pPr>
              <w:pStyle w:val="180"/>
              <w:rPr>
                <w:rFonts w:ascii="Times New Roman"/>
                <w:szCs w:val="18"/>
              </w:rPr>
            </w:pPr>
            <w:r>
              <w:rPr>
                <w:rFonts w:ascii="Times New Roman"/>
                <w:szCs w:val="18"/>
              </w:rPr>
              <w:t>（人）</w:t>
            </w:r>
          </w:p>
        </w:tc>
        <w:tc>
          <w:tcPr>
            <w:tcW w:w="1414" w:type="dxa"/>
            <w:gridSpan w:val="4"/>
            <w:vAlign w:val="center"/>
          </w:tcPr>
          <w:p w14:paraId="77E924AE">
            <w:pPr>
              <w:spacing w:line="240" w:lineRule="auto"/>
              <w:jc w:val="right"/>
              <w:rPr>
                <w:rFonts w:ascii="Times New Roman" w:hAnsi="Times New Roman"/>
                <w:sz w:val="18"/>
                <w:szCs w:val="18"/>
              </w:rPr>
            </w:pPr>
          </w:p>
        </w:tc>
        <w:tc>
          <w:tcPr>
            <w:tcW w:w="1414" w:type="dxa"/>
            <w:gridSpan w:val="4"/>
            <w:vAlign w:val="center"/>
          </w:tcPr>
          <w:p w14:paraId="46310E03">
            <w:pPr>
              <w:spacing w:line="240" w:lineRule="auto"/>
              <w:jc w:val="center"/>
              <w:rPr>
                <w:rFonts w:ascii="Times New Roman" w:hAnsi="Times New Roman"/>
                <w:sz w:val="18"/>
                <w:szCs w:val="18"/>
              </w:rPr>
            </w:pPr>
            <w:r>
              <w:rPr>
                <w:rFonts w:ascii="Times New Roman" w:hAnsi="Times New Roman"/>
                <w:sz w:val="18"/>
                <w:szCs w:val="18"/>
              </w:rPr>
              <w:t>威胁财产</w:t>
            </w:r>
          </w:p>
          <w:p w14:paraId="62F36B05">
            <w:pPr>
              <w:spacing w:line="240" w:lineRule="auto"/>
              <w:jc w:val="center"/>
              <w:rPr>
                <w:rFonts w:ascii="Times New Roman" w:hAnsi="Times New Roman"/>
                <w:sz w:val="18"/>
                <w:szCs w:val="18"/>
              </w:rPr>
            </w:pPr>
            <w:r>
              <w:rPr>
                <w:rFonts w:ascii="Times New Roman" w:hAnsi="Times New Roman"/>
                <w:sz w:val="18"/>
                <w:szCs w:val="18"/>
              </w:rPr>
              <w:t>（万元）</w:t>
            </w:r>
          </w:p>
        </w:tc>
        <w:tc>
          <w:tcPr>
            <w:tcW w:w="1565" w:type="dxa"/>
            <w:gridSpan w:val="4"/>
            <w:vAlign w:val="center"/>
          </w:tcPr>
          <w:p w14:paraId="2F5D882B">
            <w:pPr>
              <w:spacing w:line="240" w:lineRule="auto"/>
              <w:jc w:val="right"/>
              <w:rPr>
                <w:rFonts w:ascii="Times New Roman" w:hAnsi="Times New Roman"/>
                <w:sz w:val="18"/>
                <w:szCs w:val="18"/>
              </w:rPr>
            </w:pPr>
          </w:p>
        </w:tc>
        <w:tc>
          <w:tcPr>
            <w:tcW w:w="1266" w:type="dxa"/>
            <w:gridSpan w:val="5"/>
            <w:vAlign w:val="center"/>
          </w:tcPr>
          <w:p w14:paraId="323D9BEF">
            <w:pPr>
              <w:spacing w:line="240" w:lineRule="auto"/>
              <w:jc w:val="center"/>
              <w:rPr>
                <w:rFonts w:ascii="Times New Roman" w:hAnsi="Times New Roman"/>
                <w:sz w:val="18"/>
                <w:szCs w:val="18"/>
              </w:rPr>
            </w:pPr>
            <w:r>
              <w:rPr>
                <w:rFonts w:ascii="Times New Roman" w:hAnsi="Times New Roman"/>
                <w:sz w:val="18"/>
                <w:szCs w:val="18"/>
              </w:rPr>
              <w:t>险情等级</w:t>
            </w:r>
          </w:p>
        </w:tc>
        <w:tc>
          <w:tcPr>
            <w:tcW w:w="2842" w:type="dxa"/>
            <w:gridSpan w:val="8"/>
            <w:vAlign w:val="center"/>
          </w:tcPr>
          <w:p w14:paraId="0093F027">
            <w:pPr>
              <w:spacing w:line="240" w:lineRule="auto"/>
              <w:jc w:val="center"/>
              <w:rPr>
                <w:rFonts w:ascii="Times New Roman" w:hAnsi="Times New Roman"/>
                <w:sz w:val="18"/>
                <w:szCs w:val="18"/>
              </w:rPr>
            </w:pPr>
            <w:r>
              <w:rPr>
                <w:rFonts w:ascii="Times New Roman" w:hAnsi="Times New Roman"/>
                <w:sz w:val="18"/>
                <w:szCs w:val="18"/>
              </w:rPr>
              <w:t>□特大型     □大型</w:t>
            </w:r>
          </w:p>
          <w:p w14:paraId="4670B0DB">
            <w:pPr>
              <w:spacing w:line="240" w:lineRule="auto"/>
              <w:jc w:val="center"/>
              <w:rPr>
                <w:rFonts w:ascii="Times New Roman" w:hAnsi="Times New Roman"/>
                <w:sz w:val="18"/>
                <w:szCs w:val="18"/>
              </w:rPr>
            </w:pPr>
            <w:r>
              <w:rPr>
                <w:rFonts w:ascii="Times New Roman" w:hAnsi="Times New Roman"/>
                <w:sz w:val="18"/>
                <w:szCs w:val="18"/>
              </w:rPr>
              <w:t>□中型       □小型</w:t>
            </w:r>
          </w:p>
        </w:tc>
      </w:tr>
      <w:tr w14:paraId="7C931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44" w:hRule="atLeast"/>
          <w:jc w:val="center"/>
        </w:trPr>
        <w:tc>
          <w:tcPr>
            <w:tcW w:w="1141" w:type="dxa"/>
            <w:gridSpan w:val="2"/>
            <w:vAlign w:val="center"/>
          </w:tcPr>
          <w:p w14:paraId="10602DA3">
            <w:pPr>
              <w:spacing w:line="240" w:lineRule="auto"/>
              <w:jc w:val="center"/>
              <w:rPr>
                <w:rFonts w:ascii="Times New Roman" w:hAnsi="Times New Roman"/>
                <w:sz w:val="18"/>
                <w:szCs w:val="18"/>
              </w:rPr>
            </w:pPr>
            <w:r>
              <w:rPr>
                <w:rFonts w:ascii="Times New Roman" w:hAnsi="Times New Roman"/>
                <w:sz w:val="18"/>
                <w:szCs w:val="18"/>
              </w:rPr>
              <w:t>承灾体调查</w:t>
            </w:r>
          </w:p>
        </w:tc>
        <w:tc>
          <w:tcPr>
            <w:tcW w:w="8501" w:type="dxa"/>
            <w:gridSpan w:val="25"/>
            <w:vAlign w:val="center"/>
          </w:tcPr>
          <w:p w14:paraId="54C37CFD">
            <w:pPr>
              <w:pStyle w:val="180"/>
              <w:jc w:val="left"/>
              <w:rPr>
                <w:rFonts w:ascii="Times New Roman"/>
                <w:szCs w:val="18"/>
              </w:rPr>
            </w:pPr>
            <w:r>
              <w:rPr>
                <w:rFonts w:ascii="Times New Roman"/>
                <w:szCs w:val="18"/>
              </w:rPr>
              <w:t>人员：□居民：户籍人口</w:t>
            </w:r>
            <w:r>
              <w:rPr>
                <w:rFonts w:ascii="Times New Roman"/>
                <w:szCs w:val="18"/>
                <w:u w:val="single"/>
              </w:rPr>
              <w:t xml:space="preserve">      </w:t>
            </w:r>
            <w:r>
              <w:rPr>
                <w:rFonts w:ascii="Times New Roman"/>
                <w:szCs w:val="18"/>
              </w:rPr>
              <w:t>户</w:t>
            </w:r>
            <w:r>
              <w:rPr>
                <w:rFonts w:ascii="Times New Roman"/>
                <w:szCs w:val="18"/>
                <w:u w:val="single"/>
              </w:rPr>
              <w:t xml:space="preserve">      </w:t>
            </w:r>
            <w:r>
              <w:rPr>
                <w:rFonts w:ascii="Times New Roman"/>
                <w:szCs w:val="18"/>
              </w:rPr>
              <w:t>人，常住人口：</w:t>
            </w:r>
            <w:r>
              <w:rPr>
                <w:rFonts w:ascii="Times New Roman"/>
                <w:szCs w:val="18"/>
                <w:u w:val="single"/>
              </w:rPr>
              <w:t xml:space="preserve">      </w:t>
            </w:r>
            <w:r>
              <w:rPr>
                <w:rFonts w:ascii="Times New Roman"/>
                <w:szCs w:val="18"/>
              </w:rPr>
              <w:t xml:space="preserve">户 </w:t>
            </w:r>
            <w:r>
              <w:rPr>
                <w:rFonts w:ascii="Times New Roman"/>
                <w:szCs w:val="18"/>
                <w:u w:val="single"/>
              </w:rPr>
              <w:t xml:space="preserve">      </w:t>
            </w:r>
            <w:r>
              <w:rPr>
                <w:rFonts w:ascii="Times New Roman"/>
                <w:szCs w:val="18"/>
              </w:rPr>
              <w:t>人；□其他常驻人口：</w:t>
            </w:r>
            <w:r>
              <w:rPr>
                <w:rFonts w:ascii="Times New Roman"/>
                <w:szCs w:val="18"/>
                <w:u w:val="single"/>
              </w:rPr>
              <w:t xml:space="preserve">      </w:t>
            </w:r>
            <w:r>
              <w:rPr>
                <w:rFonts w:ascii="Times New Roman"/>
                <w:szCs w:val="18"/>
              </w:rPr>
              <w:t>人</w:t>
            </w:r>
          </w:p>
          <w:p w14:paraId="6A9EC748">
            <w:pPr>
              <w:pStyle w:val="180"/>
              <w:jc w:val="left"/>
              <w:rPr>
                <w:rFonts w:ascii="Times New Roman"/>
                <w:szCs w:val="18"/>
              </w:rPr>
            </w:pPr>
            <w:r>
              <w:rPr>
                <w:rFonts w:ascii="Times New Roman"/>
                <w:szCs w:val="18"/>
              </w:rPr>
              <w:t>基础设施：□房屋</w:t>
            </w:r>
            <w:r>
              <w:rPr>
                <w:rFonts w:ascii="Times New Roman"/>
                <w:szCs w:val="18"/>
                <w:u w:val="single"/>
              </w:rPr>
              <w:t xml:space="preserve">    </w:t>
            </w:r>
            <w:r>
              <w:rPr>
                <w:rFonts w:ascii="Times New Roman"/>
                <w:szCs w:val="18"/>
              </w:rPr>
              <w:t>间</w:t>
            </w:r>
            <w:r>
              <w:rPr>
                <w:rFonts w:hint="eastAsia" w:ascii="Times New Roman"/>
                <w:szCs w:val="18"/>
              </w:rPr>
              <w:t>，</w:t>
            </w:r>
            <w:r>
              <w:rPr>
                <w:rFonts w:ascii="Times New Roman"/>
                <w:szCs w:val="18"/>
              </w:rPr>
              <w:t>其中</w:t>
            </w:r>
            <w:r>
              <w:rPr>
                <w:rFonts w:hint="eastAsia" w:ascii="Times New Roman"/>
                <w:szCs w:val="18"/>
              </w:rPr>
              <w:t>：</w:t>
            </w:r>
            <w:r>
              <w:rPr>
                <w:rFonts w:ascii="Times New Roman"/>
                <w:szCs w:val="18"/>
              </w:rPr>
              <w:t>□钢结构</w:t>
            </w:r>
            <w:r>
              <w:rPr>
                <w:rFonts w:ascii="Times New Roman"/>
                <w:szCs w:val="18"/>
                <w:u w:val="single"/>
              </w:rPr>
              <w:t xml:space="preserve">    </w:t>
            </w:r>
            <w:r>
              <w:rPr>
                <w:rFonts w:ascii="Times New Roman"/>
                <w:szCs w:val="18"/>
              </w:rPr>
              <w:t>间  □钢混</w:t>
            </w:r>
            <w:r>
              <w:rPr>
                <w:rFonts w:ascii="Times New Roman"/>
                <w:szCs w:val="18"/>
                <w:u w:val="single"/>
              </w:rPr>
              <w:t xml:space="preserve">    </w:t>
            </w:r>
            <w:r>
              <w:rPr>
                <w:rFonts w:ascii="Times New Roman"/>
                <w:szCs w:val="18"/>
              </w:rPr>
              <w:t>间  □砖混</w:t>
            </w:r>
            <w:r>
              <w:rPr>
                <w:rFonts w:ascii="Times New Roman"/>
                <w:szCs w:val="18"/>
                <w:u w:val="single"/>
              </w:rPr>
              <w:t xml:space="preserve">    </w:t>
            </w:r>
            <w:r>
              <w:rPr>
                <w:rFonts w:ascii="Times New Roman"/>
                <w:szCs w:val="18"/>
              </w:rPr>
              <w:t>间  □砖木</w:t>
            </w:r>
            <w:r>
              <w:rPr>
                <w:rFonts w:ascii="Times New Roman"/>
                <w:szCs w:val="18"/>
                <w:u w:val="single"/>
              </w:rPr>
              <w:t xml:space="preserve">    </w:t>
            </w:r>
            <w:r>
              <w:rPr>
                <w:rFonts w:ascii="Times New Roman"/>
                <w:szCs w:val="18"/>
              </w:rPr>
              <w:t xml:space="preserve">间  </w:t>
            </w:r>
          </w:p>
          <w:p w14:paraId="684FF909">
            <w:pPr>
              <w:pStyle w:val="180"/>
              <w:jc w:val="left"/>
              <w:rPr>
                <w:rFonts w:ascii="Times New Roman"/>
                <w:szCs w:val="18"/>
              </w:rPr>
            </w:pPr>
            <w:r>
              <w:rPr>
                <w:rFonts w:ascii="Times New Roman"/>
                <w:szCs w:val="18"/>
              </w:rPr>
              <w:t>□土坯</w:t>
            </w:r>
            <w:r>
              <w:rPr>
                <w:rFonts w:ascii="Times New Roman"/>
                <w:szCs w:val="18"/>
                <w:u w:val="single"/>
              </w:rPr>
              <w:t xml:space="preserve">    </w:t>
            </w:r>
            <w:r>
              <w:rPr>
                <w:rFonts w:ascii="Times New Roman"/>
                <w:szCs w:val="18"/>
              </w:rPr>
              <w:t>间  □其他：</w:t>
            </w:r>
            <w:r>
              <w:rPr>
                <w:rFonts w:ascii="Times New Roman"/>
                <w:szCs w:val="18"/>
                <w:u w:val="single"/>
              </w:rPr>
              <w:t xml:space="preserve">       </w:t>
            </w:r>
          </w:p>
          <w:p w14:paraId="5F11ACFA">
            <w:pPr>
              <w:pStyle w:val="180"/>
              <w:jc w:val="left"/>
              <w:rPr>
                <w:rFonts w:ascii="Times New Roman"/>
                <w:szCs w:val="18"/>
              </w:rPr>
            </w:pPr>
            <w:r>
              <w:rPr>
                <w:rFonts w:ascii="Times New Roman"/>
                <w:szCs w:val="18"/>
              </w:rPr>
              <w:t>□学校</w:t>
            </w:r>
            <w:r>
              <w:rPr>
                <w:rFonts w:ascii="Times New Roman"/>
                <w:szCs w:val="18"/>
                <w:u w:val="single"/>
              </w:rPr>
              <w:t xml:space="preserve">    </w:t>
            </w:r>
            <w:r>
              <w:rPr>
                <w:rFonts w:ascii="Times New Roman"/>
                <w:szCs w:val="18"/>
              </w:rPr>
              <w:t>个  □医院</w:t>
            </w:r>
            <w:r>
              <w:rPr>
                <w:rFonts w:ascii="Times New Roman"/>
                <w:szCs w:val="18"/>
                <w:u w:val="single"/>
              </w:rPr>
              <w:t xml:space="preserve">    </w:t>
            </w:r>
            <w:r>
              <w:rPr>
                <w:rFonts w:ascii="Times New Roman"/>
                <w:szCs w:val="18"/>
              </w:rPr>
              <w:t>个  □矿山</w:t>
            </w:r>
            <w:r>
              <w:rPr>
                <w:rFonts w:ascii="Times New Roman"/>
                <w:szCs w:val="18"/>
                <w:u w:val="single"/>
              </w:rPr>
              <w:t xml:space="preserve">   </w:t>
            </w:r>
            <w:r>
              <w:rPr>
                <w:rFonts w:ascii="Times New Roman"/>
                <w:szCs w:val="18"/>
              </w:rPr>
              <w:t>座  □工厂</w:t>
            </w:r>
            <w:r>
              <w:rPr>
                <w:rFonts w:ascii="Times New Roman"/>
                <w:szCs w:val="18"/>
                <w:u w:val="single"/>
              </w:rPr>
              <w:t xml:space="preserve">   </w:t>
            </w:r>
            <w:r>
              <w:rPr>
                <w:rFonts w:ascii="Times New Roman"/>
                <w:szCs w:val="18"/>
              </w:rPr>
              <w:t>座  □公路</w:t>
            </w:r>
            <w:r>
              <w:rPr>
                <w:rFonts w:ascii="Times New Roman"/>
                <w:szCs w:val="18"/>
                <w:u w:val="single"/>
              </w:rPr>
              <w:t xml:space="preserve">   </w:t>
            </w:r>
            <w:r>
              <w:rPr>
                <w:rFonts w:ascii="Times New Roman"/>
                <w:szCs w:val="18"/>
              </w:rPr>
              <w:t>m  □铁路</w:t>
            </w:r>
            <w:r>
              <w:rPr>
                <w:rFonts w:ascii="Times New Roman"/>
                <w:szCs w:val="18"/>
                <w:u w:val="single"/>
              </w:rPr>
              <w:t xml:space="preserve">   </w:t>
            </w:r>
            <w:r>
              <w:rPr>
                <w:rFonts w:ascii="Times New Roman"/>
                <w:szCs w:val="18"/>
              </w:rPr>
              <w:t xml:space="preserve">m  </w:t>
            </w:r>
          </w:p>
          <w:p w14:paraId="4425E370">
            <w:pPr>
              <w:pStyle w:val="180"/>
              <w:jc w:val="left"/>
              <w:rPr>
                <w:rFonts w:ascii="Times New Roman"/>
                <w:szCs w:val="18"/>
              </w:rPr>
            </w:pPr>
            <w:r>
              <w:rPr>
                <w:rFonts w:ascii="Times New Roman"/>
                <w:szCs w:val="18"/>
              </w:rPr>
              <w:t>□水库</w:t>
            </w:r>
            <w:r>
              <w:rPr>
                <w:rFonts w:ascii="Times New Roman"/>
                <w:szCs w:val="18"/>
                <w:u w:val="single"/>
              </w:rPr>
              <w:t xml:space="preserve">   </w:t>
            </w:r>
            <w:r>
              <w:rPr>
                <w:rFonts w:ascii="Times New Roman"/>
                <w:szCs w:val="18"/>
              </w:rPr>
              <w:t>座  □电站</w:t>
            </w:r>
            <w:r>
              <w:rPr>
                <w:rFonts w:ascii="Times New Roman"/>
                <w:szCs w:val="18"/>
                <w:u w:val="single"/>
              </w:rPr>
              <w:t xml:space="preserve">   </w:t>
            </w:r>
            <w:r>
              <w:rPr>
                <w:rFonts w:ascii="Times New Roman"/>
                <w:szCs w:val="18"/>
              </w:rPr>
              <w:t>座  □输电线路</w:t>
            </w:r>
            <w:r>
              <w:rPr>
                <w:rFonts w:ascii="Times New Roman"/>
                <w:szCs w:val="18"/>
                <w:u w:val="single"/>
              </w:rPr>
              <w:t xml:space="preserve">   </w:t>
            </w:r>
            <w:r>
              <w:rPr>
                <w:rFonts w:ascii="Times New Roman"/>
                <w:szCs w:val="18"/>
              </w:rPr>
              <w:t>m  □通讯设施</w:t>
            </w:r>
            <w:r>
              <w:rPr>
                <w:rFonts w:ascii="Times New Roman"/>
                <w:szCs w:val="18"/>
                <w:u w:val="single"/>
              </w:rPr>
              <w:t xml:space="preserve">   </w:t>
            </w:r>
            <w:r>
              <w:rPr>
                <w:rFonts w:ascii="Times New Roman"/>
                <w:szCs w:val="18"/>
              </w:rPr>
              <w:t>座  □其他：</w:t>
            </w:r>
            <w:r>
              <w:rPr>
                <w:rFonts w:ascii="Times New Roman"/>
                <w:szCs w:val="18"/>
                <w:u w:val="single"/>
              </w:rPr>
              <w:t xml:space="preserve">      </w:t>
            </w:r>
          </w:p>
        </w:tc>
      </w:tr>
      <w:tr w14:paraId="29F0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1" w:hRule="atLeast"/>
          <w:jc w:val="center"/>
        </w:trPr>
        <w:tc>
          <w:tcPr>
            <w:tcW w:w="1141" w:type="dxa"/>
            <w:gridSpan w:val="2"/>
            <w:vMerge w:val="restart"/>
            <w:vAlign w:val="center"/>
          </w:tcPr>
          <w:p w14:paraId="324FC154">
            <w:pPr>
              <w:spacing w:line="240" w:lineRule="auto"/>
              <w:jc w:val="center"/>
              <w:rPr>
                <w:rFonts w:ascii="Times New Roman" w:hAnsi="Times New Roman"/>
                <w:sz w:val="18"/>
                <w:szCs w:val="18"/>
              </w:rPr>
            </w:pPr>
            <w:r>
              <w:rPr>
                <w:rFonts w:ascii="Times New Roman" w:hAnsi="Times New Roman"/>
                <w:sz w:val="18"/>
                <w:szCs w:val="18"/>
              </w:rPr>
              <w:t>防治措施</w:t>
            </w:r>
          </w:p>
        </w:tc>
        <w:tc>
          <w:tcPr>
            <w:tcW w:w="1414" w:type="dxa"/>
            <w:gridSpan w:val="4"/>
            <w:vMerge w:val="restart"/>
            <w:vAlign w:val="center"/>
          </w:tcPr>
          <w:p w14:paraId="38B8809E">
            <w:pPr>
              <w:pStyle w:val="180"/>
              <w:rPr>
                <w:rFonts w:ascii="Times New Roman"/>
                <w:szCs w:val="18"/>
              </w:rPr>
            </w:pPr>
            <w:r>
              <w:rPr>
                <w:rFonts w:ascii="Times New Roman"/>
                <w:szCs w:val="18"/>
              </w:rPr>
              <w:t>□有  □无</w:t>
            </w:r>
          </w:p>
        </w:tc>
        <w:tc>
          <w:tcPr>
            <w:tcW w:w="1414" w:type="dxa"/>
            <w:gridSpan w:val="4"/>
            <w:vAlign w:val="center"/>
          </w:tcPr>
          <w:p w14:paraId="192B03B8">
            <w:pPr>
              <w:spacing w:line="240" w:lineRule="auto"/>
              <w:jc w:val="center"/>
              <w:rPr>
                <w:rFonts w:ascii="Times New Roman" w:hAnsi="Times New Roman"/>
                <w:sz w:val="18"/>
                <w:szCs w:val="18"/>
              </w:rPr>
            </w:pPr>
            <w:r>
              <w:rPr>
                <w:rFonts w:ascii="Times New Roman" w:hAnsi="Times New Roman"/>
                <w:sz w:val="18"/>
                <w:szCs w:val="18"/>
              </w:rPr>
              <w:t>防治类型</w:t>
            </w:r>
          </w:p>
        </w:tc>
        <w:tc>
          <w:tcPr>
            <w:tcW w:w="5673" w:type="dxa"/>
            <w:gridSpan w:val="17"/>
            <w:vAlign w:val="center"/>
          </w:tcPr>
          <w:p w14:paraId="223A66EA">
            <w:pPr>
              <w:pStyle w:val="180"/>
              <w:jc w:val="both"/>
              <w:rPr>
                <w:szCs w:val="22"/>
              </w:rPr>
            </w:pPr>
            <w:r>
              <w:rPr>
                <w:rFonts w:ascii="Times New Roman"/>
                <w:szCs w:val="18"/>
              </w:rPr>
              <w:t>□拦挡  □排导  □穿越  □防护  □停淤场  □生物</w:t>
            </w:r>
            <w:r>
              <w:rPr>
                <w:szCs w:val="22"/>
              </w:rPr>
              <w:t xml:space="preserve">措施  </w:t>
            </w:r>
          </w:p>
          <w:p w14:paraId="358AD3E8">
            <w:pPr>
              <w:pStyle w:val="180"/>
              <w:jc w:val="both"/>
              <w:rPr>
                <w:rFonts w:ascii="Times New Roman"/>
                <w:szCs w:val="18"/>
              </w:rPr>
            </w:pPr>
            <w:r>
              <w:rPr>
                <w:rFonts w:ascii="Times New Roman"/>
                <w:szCs w:val="18"/>
              </w:rPr>
              <w:t>□群测群防  □专业监测  □避险搬迁  □其他:</w:t>
            </w:r>
            <w:r>
              <w:rPr>
                <w:rFonts w:ascii="Times New Roman"/>
                <w:szCs w:val="18"/>
                <w:u w:val="single"/>
              </w:rPr>
              <w:t xml:space="preserve">       </w:t>
            </w:r>
          </w:p>
        </w:tc>
      </w:tr>
      <w:tr w14:paraId="7FE28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1" w:hRule="atLeast"/>
          <w:jc w:val="center"/>
        </w:trPr>
        <w:tc>
          <w:tcPr>
            <w:tcW w:w="1141" w:type="dxa"/>
            <w:gridSpan w:val="2"/>
            <w:vMerge w:val="continue"/>
            <w:vAlign w:val="center"/>
          </w:tcPr>
          <w:p w14:paraId="02F73829">
            <w:pPr>
              <w:spacing w:line="240" w:lineRule="auto"/>
              <w:jc w:val="center"/>
              <w:rPr>
                <w:rFonts w:ascii="Times New Roman" w:hAnsi="Times New Roman"/>
                <w:sz w:val="18"/>
                <w:szCs w:val="18"/>
              </w:rPr>
            </w:pPr>
          </w:p>
        </w:tc>
        <w:tc>
          <w:tcPr>
            <w:tcW w:w="1414" w:type="dxa"/>
            <w:gridSpan w:val="4"/>
            <w:vMerge w:val="continue"/>
            <w:vAlign w:val="center"/>
          </w:tcPr>
          <w:p w14:paraId="61322BDF">
            <w:pPr>
              <w:spacing w:line="240" w:lineRule="auto"/>
              <w:rPr>
                <w:rFonts w:ascii="Times New Roman" w:hAnsi="Times New Roman"/>
                <w:sz w:val="18"/>
                <w:szCs w:val="18"/>
              </w:rPr>
            </w:pPr>
          </w:p>
        </w:tc>
        <w:tc>
          <w:tcPr>
            <w:tcW w:w="1414" w:type="dxa"/>
            <w:gridSpan w:val="4"/>
            <w:vAlign w:val="center"/>
          </w:tcPr>
          <w:p w14:paraId="5CCA05F2">
            <w:pPr>
              <w:spacing w:line="240" w:lineRule="auto"/>
              <w:jc w:val="center"/>
              <w:rPr>
                <w:rFonts w:ascii="Times New Roman" w:hAnsi="Times New Roman"/>
                <w:sz w:val="18"/>
                <w:szCs w:val="18"/>
              </w:rPr>
            </w:pPr>
            <w:r>
              <w:rPr>
                <w:rFonts w:ascii="Times New Roman" w:hAnsi="Times New Roman"/>
                <w:sz w:val="18"/>
                <w:szCs w:val="18"/>
              </w:rPr>
              <w:t>防治措施建议</w:t>
            </w:r>
          </w:p>
        </w:tc>
        <w:tc>
          <w:tcPr>
            <w:tcW w:w="5673" w:type="dxa"/>
            <w:gridSpan w:val="17"/>
            <w:vAlign w:val="center"/>
          </w:tcPr>
          <w:p w14:paraId="4D52F007">
            <w:pPr>
              <w:pStyle w:val="180"/>
              <w:jc w:val="both"/>
              <w:rPr>
                <w:rFonts w:ascii="Times New Roman"/>
                <w:szCs w:val="18"/>
              </w:rPr>
            </w:pPr>
            <w:r>
              <w:rPr>
                <w:rFonts w:ascii="Times New Roman"/>
                <w:szCs w:val="18"/>
              </w:rPr>
              <w:t xml:space="preserve">□立警示牌  □定期巡视  □避让搬迁  □群测群防  □工程治理  </w:t>
            </w:r>
          </w:p>
          <w:p w14:paraId="01CF1197">
            <w:pPr>
              <w:pStyle w:val="180"/>
              <w:jc w:val="both"/>
              <w:rPr>
                <w:rFonts w:ascii="Times New Roman"/>
                <w:szCs w:val="18"/>
              </w:rPr>
            </w:pPr>
            <w:r>
              <w:rPr>
                <w:rFonts w:ascii="Times New Roman"/>
                <w:szCs w:val="18"/>
              </w:rPr>
              <w:t>□排危除险  □专业监测  □其他:</w:t>
            </w:r>
            <w:r>
              <w:rPr>
                <w:rFonts w:ascii="Times New Roman"/>
                <w:szCs w:val="18"/>
                <w:u w:val="single"/>
              </w:rPr>
              <w:t xml:space="preserve">       </w:t>
            </w:r>
          </w:p>
        </w:tc>
      </w:tr>
      <w:tr w14:paraId="429C5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6" w:hRule="atLeast"/>
          <w:jc w:val="center"/>
        </w:trPr>
        <w:tc>
          <w:tcPr>
            <w:tcW w:w="1141" w:type="dxa"/>
            <w:gridSpan w:val="2"/>
            <w:vAlign w:val="center"/>
          </w:tcPr>
          <w:p w14:paraId="307700D2">
            <w:pPr>
              <w:pStyle w:val="180"/>
              <w:rPr>
                <w:rFonts w:ascii="Times New Roman"/>
                <w:szCs w:val="18"/>
              </w:rPr>
            </w:pPr>
            <w:r>
              <w:rPr>
                <w:rFonts w:ascii="Times New Roman"/>
                <w:szCs w:val="18"/>
              </w:rPr>
              <w:t>遥感解译点</w:t>
            </w:r>
          </w:p>
        </w:tc>
        <w:tc>
          <w:tcPr>
            <w:tcW w:w="1414" w:type="dxa"/>
            <w:gridSpan w:val="4"/>
            <w:vAlign w:val="center"/>
          </w:tcPr>
          <w:p w14:paraId="6067458A">
            <w:pPr>
              <w:pStyle w:val="180"/>
              <w:rPr>
                <w:rFonts w:ascii="Times New Roman"/>
                <w:szCs w:val="18"/>
              </w:rPr>
            </w:pPr>
            <w:r>
              <w:rPr>
                <w:rFonts w:ascii="Times New Roman"/>
                <w:szCs w:val="18"/>
              </w:rPr>
              <w:t>□是  □否</w:t>
            </w:r>
          </w:p>
        </w:tc>
        <w:tc>
          <w:tcPr>
            <w:tcW w:w="1414" w:type="dxa"/>
            <w:gridSpan w:val="4"/>
            <w:vAlign w:val="center"/>
          </w:tcPr>
          <w:p w14:paraId="74E3A362">
            <w:pPr>
              <w:spacing w:line="240" w:lineRule="auto"/>
              <w:jc w:val="center"/>
              <w:rPr>
                <w:rFonts w:ascii="Times New Roman" w:hAnsi="Times New Roman"/>
                <w:sz w:val="18"/>
                <w:szCs w:val="18"/>
              </w:rPr>
            </w:pPr>
            <w:r>
              <w:rPr>
                <w:rFonts w:ascii="Times New Roman" w:hAnsi="Times New Roman"/>
                <w:sz w:val="18"/>
                <w:szCs w:val="18"/>
              </w:rPr>
              <w:t>勘查点</w:t>
            </w:r>
          </w:p>
        </w:tc>
        <w:tc>
          <w:tcPr>
            <w:tcW w:w="1225" w:type="dxa"/>
            <w:gridSpan w:val="3"/>
            <w:vAlign w:val="center"/>
          </w:tcPr>
          <w:p w14:paraId="5BFFE827">
            <w:pPr>
              <w:pStyle w:val="180"/>
              <w:rPr>
                <w:rFonts w:ascii="Times New Roman"/>
                <w:szCs w:val="18"/>
              </w:rPr>
            </w:pPr>
            <w:r>
              <w:rPr>
                <w:rFonts w:ascii="Times New Roman"/>
                <w:szCs w:val="18"/>
              </w:rPr>
              <w:t>□是  □否</w:t>
            </w:r>
          </w:p>
        </w:tc>
        <w:tc>
          <w:tcPr>
            <w:tcW w:w="1096" w:type="dxa"/>
            <w:gridSpan w:val="4"/>
            <w:vAlign w:val="center"/>
          </w:tcPr>
          <w:p w14:paraId="0379FC42">
            <w:pPr>
              <w:pStyle w:val="180"/>
              <w:rPr>
                <w:szCs w:val="22"/>
              </w:rPr>
            </w:pPr>
            <w:r>
              <w:rPr>
                <w:szCs w:val="22"/>
              </w:rPr>
              <w:t>测绘点</w:t>
            </w:r>
          </w:p>
        </w:tc>
        <w:tc>
          <w:tcPr>
            <w:tcW w:w="1075" w:type="dxa"/>
            <w:gridSpan w:val="3"/>
            <w:vAlign w:val="center"/>
          </w:tcPr>
          <w:p w14:paraId="79CF2C84">
            <w:pPr>
              <w:pStyle w:val="180"/>
              <w:rPr>
                <w:szCs w:val="22"/>
              </w:rPr>
            </w:pPr>
            <w:r>
              <w:rPr>
                <w:szCs w:val="22"/>
              </w:rPr>
              <w:t>□是  □否</w:t>
            </w:r>
          </w:p>
        </w:tc>
        <w:tc>
          <w:tcPr>
            <w:tcW w:w="1107" w:type="dxa"/>
            <w:gridSpan w:val="5"/>
            <w:vAlign w:val="center"/>
          </w:tcPr>
          <w:p w14:paraId="1BEBBB2B">
            <w:pPr>
              <w:pStyle w:val="180"/>
              <w:rPr>
                <w:rFonts w:ascii="Times New Roman"/>
                <w:szCs w:val="18"/>
              </w:rPr>
            </w:pPr>
            <w:r>
              <w:rPr>
                <w:rFonts w:ascii="Times New Roman"/>
                <w:szCs w:val="18"/>
              </w:rPr>
              <w:t>防灾预案/群测群防点</w:t>
            </w:r>
          </w:p>
        </w:tc>
        <w:tc>
          <w:tcPr>
            <w:tcW w:w="1170" w:type="dxa"/>
            <w:gridSpan w:val="2"/>
            <w:vAlign w:val="center"/>
          </w:tcPr>
          <w:p w14:paraId="3D7813CC">
            <w:pPr>
              <w:pStyle w:val="180"/>
              <w:rPr>
                <w:rFonts w:ascii="Times New Roman"/>
                <w:szCs w:val="18"/>
              </w:rPr>
            </w:pPr>
            <w:r>
              <w:rPr>
                <w:rFonts w:ascii="Times New Roman"/>
                <w:szCs w:val="18"/>
              </w:rPr>
              <w:t>□是  □否</w:t>
            </w:r>
          </w:p>
        </w:tc>
      </w:tr>
      <w:tr w14:paraId="6C8F6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2" w:hRule="atLeast"/>
          <w:jc w:val="center"/>
        </w:trPr>
        <w:tc>
          <w:tcPr>
            <w:tcW w:w="2555" w:type="dxa"/>
            <w:gridSpan w:val="6"/>
            <w:vAlign w:val="center"/>
          </w:tcPr>
          <w:p w14:paraId="028021F2">
            <w:pPr>
              <w:spacing w:line="240" w:lineRule="auto"/>
              <w:jc w:val="center"/>
              <w:rPr>
                <w:rFonts w:ascii="Times New Roman" w:hAnsi="Times New Roman"/>
                <w:sz w:val="18"/>
                <w:szCs w:val="18"/>
              </w:rPr>
            </w:pPr>
            <w:r>
              <w:rPr>
                <w:rFonts w:ascii="Times New Roman" w:hAnsi="Times New Roman"/>
                <w:sz w:val="18"/>
                <w:szCs w:val="18"/>
              </w:rPr>
              <w:t>风险定性</w:t>
            </w:r>
            <w:r>
              <w:rPr>
                <w:rFonts w:hint="eastAsia" w:ascii="Times New Roman" w:hAnsi="Times New Roman"/>
                <w:sz w:val="18"/>
                <w:szCs w:val="18"/>
              </w:rPr>
              <w:t>判断</w:t>
            </w:r>
          </w:p>
        </w:tc>
        <w:tc>
          <w:tcPr>
            <w:tcW w:w="7087" w:type="dxa"/>
            <w:gridSpan w:val="21"/>
            <w:vAlign w:val="center"/>
          </w:tcPr>
          <w:p w14:paraId="08A2E748">
            <w:pPr>
              <w:spacing w:line="240" w:lineRule="auto"/>
              <w:rPr>
                <w:rFonts w:ascii="Times New Roman" w:hAnsi="Times New Roman"/>
                <w:sz w:val="18"/>
                <w:szCs w:val="18"/>
              </w:rPr>
            </w:pPr>
            <w:r>
              <w:rPr>
                <w:rFonts w:ascii="Times New Roman" w:hAnsi="Times New Roman"/>
                <w:sz w:val="18"/>
                <w:szCs w:val="18"/>
              </w:rPr>
              <w:t xml:space="preserve">□极高  □高  □中  □低  </w:t>
            </w:r>
          </w:p>
        </w:tc>
      </w:tr>
    </w:tbl>
    <w:p w14:paraId="342BD98C">
      <w:pPr>
        <w:pStyle w:val="58"/>
        <w:pageBreakBefore/>
        <w:spacing w:before="156" w:beforeLines="50" w:after="156" w:afterLines="50"/>
        <w:ind w:firstLine="0" w:firstLineChars="0"/>
        <w:jc w:val="center"/>
      </w:pPr>
      <w:bookmarkStart w:id="298" w:name="_Hlk168089306"/>
      <w:r>
        <w:rPr>
          <w:rFonts w:hint="eastAsia" w:ascii="黑体" w:hAnsi="黑体" w:eastAsia="黑体"/>
        </w:rPr>
        <w:t>表C</w:t>
      </w:r>
      <w:r>
        <w:rPr>
          <w:rFonts w:ascii="黑体" w:hAnsi="黑体" w:eastAsia="黑体"/>
        </w:rPr>
        <w:t>.6</w:t>
      </w:r>
      <w:bookmarkEnd w:id="298"/>
      <w:r>
        <w:rPr>
          <w:rFonts w:hint="eastAsia" w:ascii="黑体" w:hAnsi="黑体" w:eastAsia="黑体"/>
        </w:rPr>
        <w:t>泥石流及隐患调查记录表（续）</w:t>
      </w:r>
    </w:p>
    <w:tbl>
      <w:tblPr>
        <w:tblStyle w:val="28"/>
        <w:tblW w:w="96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5"/>
        <w:gridCol w:w="786"/>
        <w:gridCol w:w="509"/>
        <w:gridCol w:w="387"/>
        <w:gridCol w:w="122"/>
        <w:gridCol w:w="509"/>
        <w:gridCol w:w="509"/>
        <w:gridCol w:w="288"/>
        <w:gridCol w:w="221"/>
        <w:gridCol w:w="31"/>
        <w:gridCol w:w="478"/>
        <w:gridCol w:w="60"/>
        <w:gridCol w:w="259"/>
        <w:gridCol w:w="190"/>
        <w:gridCol w:w="509"/>
        <w:gridCol w:w="152"/>
        <w:gridCol w:w="241"/>
        <w:gridCol w:w="116"/>
        <w:gridCol w:w="509"/>
        <w:gridCol w:w="509"/>
        <w:gridCol w:w="509"/>
        <w:gridCol w:w="300"/>
        <w:gridCol w:w="209"/>
        <w:gridCol w:w="509"/>
        <w:gridCol w:w="509"/>
        <w:gridCol w:w="513"/>
      </w:tblGrid>
      <w:tr w14:paraId="2059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63" w:hRule="atLeast"/>
          <w:jc w:val="center"/>
        </w:trPr>
        <w:tc>
          <w:tcPr>
            <w:tcW w:w="715" w:type="dxa"/>
            <w:vAlign w:val="center"/>
          </w:tcPr>
          <w:p w14:paraId="3342FC96">
            <w:pPr>
              <w:spacing w:line="240" w:lineRule="auto"/>
              <w:jc w:val="center"/>
              <w:rPr>
                <w:rFonts w:ascii="Times New Roman" w:hAnsi="Times New Roman"/>
                <w:sz w:val="18"/>
                <w:szCs w:val="18"/>
              </w:rPr>
            </w:pPr>
            <w:r>
              <w:rPr>
                <w:rFonts w:ascii="Times New Roman" w:hAnsi="Times New Roman"/>
                <w:sz w:val="18"/>
                <w:szCs w:val="18"/>
              </w:rPr>
              <w:t>泥石流沟宏观特征</w:t>
            </w:r>
          </w:p>
        </w:tc>
        <w:tc>
          <w:tcPr>
            <w:tcW w:w="8934" w:type="dxa"/>
            <w:gridSpan w:val="25"/>
          </w:tcPr>
          <w:p w14:paraId="2BE0C4E9">
            <w:pPr>
              <w:spacing w:line="240" w:lineRule="auto"/>
              <w:rPr>
                <w:rFonts w:ascii="Times New Roman" w:hAnsi="Times New Roman"/>
              </w:rPr>
            </w:pPr>
            <w:r>
              <w:rPr>
                <w:rFonts w:ascii="Times New Roman" w:hAnsi="Times New Roman"/>
                <w:sz w:val="18"/>
                <w:szCs w:val="18"/>
              </w:rPr>
              <w:t>主要描述物源区、流通区、堆积区特征（流域汇水面积，松散物质成因类型、粒度成分、结构，储量）及水动力来源特征等。</w:t>
            </w:r>
          </w:p>
          <w:p w14:paraId="68EEDDE2">
            <w:pPr>
              <w:spacing w:line="240" w:lineRule="auto"/>
              <w:rPr>
                <w:rFonts w:ascii="Times New Roman" w:hAnsi="Times New Roman"/>
              </w:rPr>
            </w:pPr>
          </w:p>
          <w:p w14:paraId="2EC30CA1">
            <w:pPr>
              <w:spacing w:line="240" w:lineRule="auto"/>
              <w:rPr>
                <w:rFonts w:ascii="Times New Roman" w:hAnsi="Times New Roman"/>
              </w:rPr>
            </w:pPr>
          </w:p>
          <w:p w14:paraId="0BC85B0D">
            <w:pPr>
              <w:spacing w:line="240" w:lineRule="auto"/>
              <w:rPr>
                <w:rFonts w:ascii="Times New Roman" w:hAnsi="Times New Roman"/>
                <w:sz w:val="18"/>
                <w:szCs w:val="18"/>
              </w:rPr>
            </w:pPr>
          </w:p>
        </w:tc>
      </w:tr>
      <w:tr w14:paraId="176B9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13" w:hRule="atLeast"/>
          <w:jc w:val="center"/>
        </w:trPr>
        <w:tc>
          <w:tcPr>
            <w:tcW w:w="715" w:type="dxa"/>
            <w:vAlign w:val="center"/>
          </w:tcPr>
          <w:p w14:paraId="2DDC67F1">
            <w:pPr>
              <w:spacing w:line="240" w:lineRule="auto"/>
              <w:jc w:val="center"/>
              <w:rPr>
                <w:rFonts w:ascii="Times New Roman" w:hAnsi="Times New Roman"/>
                <w:sz w:val="18"/>
                <w:szCs w:val="18"/>
              </w:rPr>
            </w:pPr>
            <w:r>
              <w:rPr>
                <w:rFonts w:ascii="Times New Roman" w:hAnsi="Times New Roman"/>
                <w:sz w:val="18"/>
                <w:szCs w:val="18"/>
              </w:rPr>
              <w:t>泥石流活动历史</w:t>
            </w:r>
          </w:p>
        </w:tc>
        <w:tc>
          <w:tcPr>
            <w:tcW w:w="8934" w:type="dxa"/>
            <w:gridSpan w:val="25"/>
          </w:tcPr>
          <w:p w14:paraId="7B8C4803">
            <w:pPr>
              <w:spacing w:line="240" w:lineRule="auto"/>
              <w:rPr>
                <w:rFonts w:ascii="Times New Roman" w:hAnsi="Times New Roman"/>
                <w:sz w:val="18"/>
                <w:szCs w:val="18"/>
              </w:rPr>
            </w:pPr>
          </w:p>
          <w:p w14:paraId="4FB39586">
            <w:pPr>
              <w:spacing w:line="240" w:lineRule="auto"/>
              <w:rPr>
                <w:rFonts w:ascii="Times New Roman" w:hAnsi="Times New Roman"/>
                <w:sz w:val="18"/>
                <w:szCs w:val="18"/>
              </w:rPr>
            </w:pPr>
          </w:p>
          <w:p w14:paraId="377C0807">
            <w:pPr>
              <w:spacing w:line="240" w:lineRule="auto"/>
              <w:rPr>
                <w:rFonts w:ascii="Times New Roman" w:hAnsi="Times New Roman"/>
                <w:sz w:val="18"/>
                <w:szCs w:val="18"/>
              </w:rPr>
            </w:pPr>
          </w:p>
          <w:p w14:paraId="1B6EEE50">
            <w:pPr>
              <w:spacing w:line="240" w:lineRule="auto"/>
              <w:rPr>
                <w:rFonts w:ascii="Times New Roman" w:hAnsi="Times New Roman"/>
                <w:sz w:val="18"/>
                <w:szCs w:val="18"/>
              </w:rPr>
            </w:pPr>
          </w:p>
          <w:p w14:paraId="2C4CBFEC">
            <w:pPr>
              <w:spacing w:line="240" w:lineRule="auto"/>
              <w:rPr>
                <w:rFonts w:ascii="Times New Roman" w:hAnsi="Times New Roman"/>
                <w:sz w:val="18"/>
                <w:szCs w:val="18"/>
              </w:rPr>
            </w:pPr>
          </w:p>
        </w:tc>
      </w:tr>
      <w:tr w14:paraId="6D4DB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4" w:hRule="atLeast"/>
          <w:jc w:val="center"/>
        </w:trPr>
        <w:tc>
          <w:tcPr>
            <w:tcW w:w="715" w:type="dxa"/>
            <w:vAlign w:val="center"/>
          </w:tcPr>
          <w:p w14:paraId="14891CED">
            <w:pPr>
              <w:spacing w:line="240" w:lineRule="auto"/>
              <w:jc w:val="center"/>
              <w:rPr>
                <w:rFonts w:ascii="Times New Roman" w:hAnsi="Times New Roman"/>
                <w:sz w:val="18"/>
                <w:szCs w:val="18"/>
              </w:rPr>
            </w:pPr>
            <w:r>
              <w:rPr>
                <w:rFonts w:ascii="Times New Roman" w:hAnsi="Times New Roman"/>
                <w:sz w:val="18"/>
                <w:szCs w:val="18"/>
              </w:rPr>
              <w:t>泥石流危险性分析</w:t>
            </w:r>
          </w:p>
        </w:tc>
        <w:tc>
          <w:tcPr>
            <w:tcW w:w="8934" w:type="dxa"/>
            <w:gridSpan w:val="25"/>
          </w:tcPr>
          <w:p w14:paraId="6B275C61">
            <w:pPr>
              <w:spacing w:line="240" w:lineRule="auto"/>
              <w:rPr>
                <w:rFonts w:ascii="Times New Roman" w:hAnsi="Times New Roman"/>
                <w:sz w:val="18"/>
                <w:szCs w:val="18"/>
              </w:rPr>
            </w:pPr>
          </w:p>
          <w:p w14:paraId="600FDC7D">
            <w:pPr>
              <w:spacing w:line="240" w:lineRule="auto"/>
              <w:rPr>
                <w:rFonts w:ascii="Times New Roman" w:hAnsi="Times New Roman"/>
                <w:sz w:val="18"/>
                <w:szCs w:val="18"/>
              </w:rPr>
            </w:pPr>
          </w:p>
          <w:p w14:paraId="61193C59">
            <w:pPr>
              <w:spacing w:line="240" w:lineRule="auto"/>
              <w:rPr>
                <w:rFonts w:ascii="Times New Roman" w:hAnsi="Times New Roman"/>
                <w:sz w:val="18"/>
                <w:szCs w:val="18"/>
              </w:rPr>
            </w:pPr>
          </w:p>
          <w:p w14:paraId="4F4E6A18">
            <w:pPr>
              <w:spacing w:line="240" w:lineRule="auto"/>
              <w:rPr>
                <w:rFonts w:ascii="Times New Roman" w:hAnsi="Times New Roman"/>
                <w:sz w:val="18"/>
                <w:szCs w:val="18"/>
              </w:rPr>
            </w:pPr>
          </w:p>
          <w:p w14:paraId="5B8A8CF0">
            <w:pPr>
              <w:spacing w:line="240" w:lineRule="auto"/>
              <w:rPr>
                <w:rFonts w:ascii="Times New Roman" w:hAnsi="Times New Roman"/>
                <w:sz w:val="18"/>
                <w:szCs w:val="18"/>
              </w:rPr>
            </w:pPr>
          </w:p>
        </w:tc>
      </w:tr>
      <w:tr w14:paraId="3E5DB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07" w:hRule="atLeast"/>
          <w:jc w:val="center"/>
        </w:trPr>
        <w:tc>
          <w:tcPr>
            <w:tcW w:w="715" w:type="dxa"/>
            <w:vAlign w:val="center"/>
          </w:tcPr>
          <w:p w14:paraId="58A8CF11">
            <w:pPr>
              <w:spacing w:line="240" w:lineRule="auto"/>
              <w:jc w:val="center"/>
              <w:rPr>
                <w:rFonts w:ascii="Times New Roman" w:hAnsi="Times New Roman"/>
                <w:sz w:val="18"/>
                <w:szCs w:val="18"/>
              </w:rPr>
            </w:pPr>
            <w:r>
              <w:rPr>
                <w:rFonts w:ascii="Times New Roman" w:hAnsi="Times New Roman"/>
                <w:sz w:val="18"/>
                <w:szCs w:val="18"/>
              </w:rPr>
              <w:t>危害性分析</w:t>
            </w:r>
          </w:p>
        </w:tc>
        <w:tc>
          <w:tcPr>
            <w:tcW w:w="8934" w:type="dxa"/>
            <w:gridSpan w:val="25"/>
          </w:tcPr>
          <w:p w14:paraId="5F1CA18E">
            <w:pPr>
              <w:spacing w:line="240" w:lineRule="auto"/>
              <w:rPr>
                <w:rFonts w:ascii="Times New Roman" w:hAnsi="Times New Roman"/>
                <w:sz w:val="18"/>
                <w:szCs w:val="18"/>
              </w:rPr>
            </w:pPr>
            <w:r>
              <w:rPr>
                <w:rFonts w:ascii="Times New Roman" w:hAnsi="Times New Roman"/>
                <w:sz w:val="18"/>
                <w:szCs w:val="18"/>
              </w:rPr>
              <w:t>（已有造成损失情况及破坏方式，冲击、淤埋、淹没；未来可能造成损失的范围、破坏的方式。）</w:t>
            </w:r>
          </w:p>
          <w:p w14:paraId="70A0E420">
            <w:pPr>
              <w:spacing w:line="240" w:lineRule="auto"/>
              <w:rPr>
                <w:rFonts w:ascii="Times New Roman" w:hAnsi="Times New Roman"/>
                <w:sz w:val="18"/>
                <w:szCs w:val="18"/>
              </w:rPr>
            </w:pPr>
          </w:p>
          <w:p w14:paraId="7997CC8C">
            <w:pPr>
              <w:spacing w:line="240" w:lineRule="auto"/>
              <w:rPr>
                <w:rFonts w:ascii="Times New Roman" w:hAnsi="Times New Roman"/>
                <w:sz w:val="18"/>
                <w:szCs w:val="18"/>
              </w:rPr>
            </w:pPr>
          </w:p>
          <w:p w14:paraId="4F8F0FCB">
            <w:pPr>
              <w:spacing w:line="240" w:lineRule="auto"/>
              <w:rPr>
                <w:rFonts w:ascii="Times New Roman" w:hAnsi="Times New Roman"/>
                <w:sz w:val="18"/>
                <w:szCs w:val="18"/>
              </w:rPr>
            </w:pPr>
          </w:p>
        </w:tc>
      </w:tr>
      <w:tr w14:paraId="2603F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13" w:hRule="atLeast"/>
          <w:jc w:val="center"/>
        </w:trPr>
        <w:tc>
          <w:tcPr>
            <w:tcW w:w="715" w:type="dxa"/>
            <w:vAlign w:val="center"/>
          </w:tcPr>
          <w:p w14:paraId="2D7C18C9">
            <w:pPr>
              <w:spacing w:line="240" w:lineRule="auto"/>
              <w:jc w:val="center"/>
              <w:rPr>
                <w:rFonts w:ascii="Times New Roman" w:hAnsi="Times New Roman"/>
                <w:sz w:val="18"/>
                <w:szCs w:val="18"/>
              </w:rPr>
            </w:pPr>
            <w:r>
              <w:rPr>
                <w:rFonts w:ascii="Times New Roman" w:hAnsi="Times New Roman"/>
                <w:sz w:val="18"/>
                <w:szCs w:val="18"/>
              </w:rPr>
              <w:t>其他补充性说明</w:t>
            </w:r>
          </w:p>
        </w:tc>
        <w:tc>
          <w:tcPr>
            <w:tcW w:w="8934" w:type="dxa"/>
            <w:gridSpan w:val="25"/>
          </w:tcPr>
          <w:p w14:paraId="0CCF9F07">
            <w:pPr>
              <w:spacing w:line="240" w:lineRule="auto"/>
              <w:rPr>
                <w:rFonts w:ascii="Times New Roman" w:hAnsi="Times New Roman"/>
              </w:rPr>
            </w:pPr>
          </w:p>
          <w:p w14:paraId="14149860">
            <w:pPr>
              <w:spacing w:line="240" w:lineRule="auto"/>
              <w:rPr>
                <w:rFonts w:ascii="Times New Roman" w:hAnsi="Times New Roman"/>
                <w:sz w:val="18"/>
                <w:szCs w:val="18"/>
              </w:rPr>
            </w:pPr>
          </w:p>
          <w:p w14:paraId="752663A1">
            <w:pPr>
              <w:spacing w:line="240" w:lineRule="auto"/>
              <w:rPr>
                <w:rFonts w:ascii="Times New Roman" w:hAnsi="Times New Roman"/>
                <w:sz w:val="18"/>
                <w:szCs w:val="18"/>
              </w:rPr>
            </w:pPr>
          </w:p>
          <w:p w14:paraId="5CC8FFA3">
            <w:pPr>
              <w:spacing w:line="240" w:lineRule="auto"/>
              <w:rPr>
                <w:rFonts w:ascii="Times New Roman" w:hAnsi="Times New Roman"/>
                <w:sz w:val="18"/>
                <w:szCs w:val="18"/>
              </w:rPr>
            </w:pPr>
          </w:p>
        </w:tc>
      </w:tr>
      <w:tr w14:paraId="4D5C3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649" w:type="dxa"/>
            <w:gridSpan w:val="26"/>
            <w:vAlign w:val="center"/>
          </w:tcPr>
          <w:p w14:paraId="01FFCCB0">
            <w:pPr>
              <w:spacing w:line="240" w:lineRule="auto"/>
              <w:jc w:val="center"/>
              <w:rPr>
                <w:rFonts w:ascii="Times New Roman" w:hAnsi="Times New Roman"/>
                <w:sz w:val="18"/>
                <w:szCs w:val="18"/>
              </w:rPr>
            </w:pPr>
            <w:r>
              <w:rPr>
                <w:rFonts w:ascii="Times New Roman" w:hAnsi="Times New Roman"/>
                <w:sz w:val="18"/>
                <w:szCs w:val="18"/>
              </w:rPr>
              <w:t>泥石流综合评判</w:t>
            </w:r>
          </w:p>
        </w:tc>
      </w:tr>
      <w:tr w14:paraId="1E306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1" w:type="dxa"/>
            <w:gridSpan w:val="2"/>
            <w:vAlign w:val="center"/>
          </w:tcPr>
          <w:p w14:paraId="66937029">
            <w:pPr>
              <w:spacing w:line="240" w:lineRule="auto"/>
              <w:rPr>
                <w:rFonts w:ascii="Times New Roman" w:hAnsi="Times New Roman"/>
                <w:sz w:val="18"/>
                <w:szCs w:val="18"/>
              </w:rPr>
            </w:pPr>
            <w:r>
              <w:rPr>
                <w:rFonts w:ascii="Times New Roman" w:hAnsi="Times New Roman"/>
                <w:bCs/>
                <w:sz w:val="18"/>
                <w:szCs w:val="18"/>
              </w:rPr>
              <w:t>1</w:t>
            </w:r>
            <w:r>
              <w:rPr>
                <w:rFonts w:ascii="Times New Roman" w:hAnsi="Times New Roman"/>
                <w:sz w:val="18"/>
                <w:szCs w:val="18"/>
              </w:rPr>
              <w:t>.不良地质现象</w:t>
            </w:r>
          </w:p>
        </w:tc>
        <w:tc>
          <w:tcPr>
            <w:tcW w:w="4465" w:type="dxa"/>
            <w:gridSpan w:val="15"/>
            <w:vAlign w:val="center"/>
          </w:tcPr>
          <w:p w14:paraId="4142C0A4">
            <w:pPr>
              <w:spacing w:line="240" w:lineRule="auto"/>
              <w:rPr>
                <w:rFonts w:ascii="Times New Roman" w:hAnsi="Times New Roman"/>
                <w:sz w:val="18"/>
                <w:szCs w:val="18"/>
              </w:rPr>
            </w:pPr>
            <w:r>
              <w:rPr>
                <w:rFonts w:ascii="Times New Roman" w:hAnsi="Times New Roman"/>
                <w:sz w:val="18"/>
                <w:szCs w:val="18"/>
              </w:rPr>
              <w:t>□严重  □中等  □轻微  □一般</w:t>
            </w:r>
          </w:p>
        </w:tc>
        <w:tc>
          <w:tcPr>
            <w:tcW w:w="1943" w:type="dxa"/>
            <w:gridSpan w:val="5"/>
            <w:vAlign w:val="center"/>
          </w:tcPr>
          <w:p w14:paraId="38E53510">
            <w:pPr>
              <w:spacing w:line="240" w:lineRule="auto"/>
              <w:rPr>
                <w:rFonts w:ascii="Times New Roman" w:hAnsi="Times New Roman"/>
                <w:sz w:val="18"/>
                <w:szCs w:val="18"/>
              </w:rPr>
            </w:pPr>
            <w:r>
              <w:rPr>
                <w:rFonts w:ascii="Times New Roman" w:hAnsi="Times New Roman"/>
                <w:bCs/>
                <w:sz w:val="18"/>
                <w:szCs w:val="18"/>
              </w:rPr>
              <w:t>2</w:t>
            </w:r>
            <w:r>
              <w:rPr>
                <w:rFonts w:ascii="Times New Roman" w:hAnsi="Times New Roman"/>
                <w:sz w:val="18"/>
                <w:szCs w:val="18"/>
              </w:rPr>
              <w:t>.补给段长度比（%）</w:t>
            </w:r>
          </w:p>
        </w:tc>
        <w:tc>
          <w:tcPr>
            <w:tcW w:w="1740" w:type="dxa"/>
            <w:gridSpan w:val="4"/>
            <w:vAlign w:val="center"/>
          </w:tcPr>
          <w:p w14:paraId="4C31665A">
            <w:pPr>
              <w:spacing w:line="240" w:lineRule="auto"/>
              <w:rPr>
                <w:rFonts w:ascii="Times New Roman" w:hAnsi="Times New Roman"/>
                <w:sz w:val="18"/>
                <w:szCs w:val="18"/>
              </w:rPr>
            </w:pPr>
          </w:p>
        </w:tc>
      </w:tr>
      <w:tr w14:paraId="7E7FD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9" w:hRule="atLeast"/>
          <w:jc w:val="center"/>
        </w:trPr>
        <w:tc>
          <w:tcPr>
            <w:tcW w:w="1501" w:type="dxa"/>
            <w:gridSpan w:val="2"/>
            <w:vAlign w:val="center"/>
          </w:tcPr>
          <w:p w14:paraId="41BBAB5F">
            <w:pPr>
              <w:spacing w:line="240" w:lineRule="auto"/>
              <w:rPr>
                <w:rFonts w:ascii="Times New Roman" w:hAnsi="Times New Roman"/>
                <w:sz w:val="18"/>
                <w:szCs w:val="18"/>
              </w:rPr>
            </w:pPr>
            <w:r>
              <w:rPr>
                <w:rFonts w:ascii="Times New Roman" w:hAnsi="Times New Roman"/>
                <w:bCs/>
                <w:sz w:val="18"/>
                <w:szCs w:val="18"/>
              </w:rPr>
              <w:t>3</w:t>
            </w:r>
            <w:r>
              <w:rPr>
                <w:rFonts w:ascii="Times New Roman" w:hAnsi="Times New Roman"/>
                <w:sz w:val="18"/>
                <w:szCs w:val="18"/>
              </w:rPr>
              <w:t>.沟口扇形地</w:t>
            </w:r>
          </w:p>
        </w:tc>
        <w:tc>
          <w:tcPr>
            <w:tcW w:w="4465" w:type="dxa"/>
            <w:gridSpan w:val="15"/>
            <w:vAlign w:val="center"/>
          </w:tcPr>
          <w:p w14:paraId="57AA3FB1">
            <w:pPr>
              <w:spacing w:line="240" w:lineRule="auto"/>
              <w:rPr>
                <w:rFonts w:ascii="Times New Roman" w:hAnsi="Times New Roman"/>
                <w:sz w:val="18"/>
                <w:szCs w:val="18"/>
              </w:rPr>
            </w:pPr>
            <w:r>
              <w:rPr>
                <w:rFonts w:ascii="Times New Roman" w:hAnsi="Times New Roman"/>
                <w:sz w:val="18"/>
                <w:szCs w:val="18"/>
              </w:rPr>
              <w:t>□大  □中  □小  □无</w:t>
            </w:r>
          </w:p>
        </w:tc>
        <w:tc>
          <w:tcPr>
            <w:tcW w:w="1943" w:type="dxa"/>
            <w:gridSpan w:val="5"/>
            <w:vAlign w:val="center"/>
          </w:tcPr>
          <w:p w14:paraId="395A3D85">
            <w:pPr>
              <w:spacing w:line="240" w:lineRule="auto"/>
              <w:rPr>
                <w:rFonts w:ascii="Times New Roman" w:hAnsi="Times New Roman"/>
                <w:bCs/>
                <w:sz w:val="18"/>
                <w:szCs w:val="18"/>
              </w:rPr>
            </w:pPr>
            <w:r>
              <w:rPr>
                <w:rFonts w:ascii="Times New Roman" w:hAnsi="Times New Roman"/>
                <w:bCs/>
                <w:sz w:val="18"/>
                <w:szCs w:val="18"/>
              </w:rPr>
              <w:t>4</w:t>
            </w:r>
            <w:r>
              <w:rPr>
                <w:rFonts w:ascii="Times New Roman" w:hAnsi="Times New Roman"/>
                <w:sz w:val="18"/>
                <w:szCs w:val="18"/>
              </w:rPr>
              <w:t>.主沟纵坡（‰）</w:t>
            </w:r>
          </w:p>
        </w:tc>
        <w:tc>
          <w:tcPr>
            <w:tcW w:w="1740" w:type="dxa"/>
            <w:gridSpan w:val="4"/>
            <w:vAlign w:val="center"/>
          </w:tcPr>
          <w:p w14:paraId="55F6F773">
            <w:pPr>
              <w:spacing w:line="240" w:lineRule="auto"/>
              <w:rPr>
                <w:rFonts w:ascii="Times New Roman" w:hAnsi="Times New Roman"/>
                <w:sz w:val="18"/>
                <w:szCs w:val="18"/>
              </w:rPr>
            </w:pPr>
          </w:p>
        </w:tc>
      </w:tr>
      <w:tr w14:paraId="44C47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1" w:type="dxa"/>
            <w:gridSpan w:val="2"/>
            <w:vAlign w:val="center"/>
          </w:tcPr>
          <w:p w14:paraId="08B52C19">
            <w:pPr>
              <w:spacing w:line="240" w:lineRule="auto"/>
              <w:rPr>
                <w:rFonts w:ascii="Times New Roman" w:hAnsi="Times New Roman"/>
                <w:sz w:val="18"/>
                <w:szCs w:val="18"/>
              </w:rPr>
            </w:pPr>
            <w:r>
              <w:rPr>
                <w:rFonts w:ascii="Times New Roman" w:hAnsi="Times New Roman"/>
                <w:bCs/>
                <w:sz w:val="18"/>
                <w:szCs w:val="18"/>
              </w:rPr>
              <w:t>5</w:t>
            </w:r>
            <w:r>
              <w:rPr>
                <w:rFonts w:ascii="Times New Roman" w:hAnsi="Times New Roman"/>
                <w:sz w:val="18"/>
                <w:szCs w:val="18"/>
              </w:rPr>
              <w:t>.新构造影响</w:t>
            </w:r>
          </w:p>
        </w:tc>
        <w:tc>
          <w:tcPr>
            <w:tcW w:w="4465" w:type="dxa"/>
            <w:gridSpan w:val="15"/>
            <w:vAlign w:val="center"/>
          </w:tcPr>
          <w:p w14:paraId="2969827E">
            <w:pPr>
              <w:spacing w:line="240" w:lineRule="auto"/>
              <w:rPr>
                <w:rFonts w:ascii="Times New Roman" w:hAnsi="Times New Roman"/>
                <w:sz w:val="18"/>
                <w:szCs w:val="18"/>
              </w:rPr>
            </w:pPr>
            <w:r>
              <w:rPr>
                <w:rFonts w:ascii="Times New Roman" w:hAnsi="Times New Roman"/>
                <w:sz w:val="18"/>
                <w:szCs w:val="18"/>
              </w:rPr>
              <w:t>□强烈上升区  □上升区  □相对稳定区  □沉降区</w:t>
            </w:r>
          </w:p>
        </w:tc>
        <w:tc>
          <w:tcPr>
            <w:tcW w:w="1943" w:type="dxa"/>
            <w:gridSpan w:val="5"/>
            <w:vAlign w:val="center"/>
          </w:tcPr>
          <w:p w14:paraId="4FBFD338">
            <w:pPr>
              <w:spacing w:line="240" w:lineRule="auto"/>
              <w:rPr>
                <w:rFonts w:ascii="Times New Roman" w:hAnsi="Times New Roman"/>
                <w:bCs/>
                <w:sz w:val="18"/>
                <w:szCs w:val="18"/>
              </w:rPr>
            </w:pPr>
            <w:r>
              <w:rPr>
                <w:rFonts w:ascii="Times New Roman" w:hAnsi="Times New Roman"/>
                <w:bCs/>
                <w:sz w:val="18"/>
                <w:szCs w:val="18"/>
              </w:rPr>
              <w:t>6</w:t>
            </w:r>
            <w:r>
              <w:rPr>
                <w:rFonts w:ascii="Times New Roman" w:hAnsi="Times New Roman"/>
                <w:sz w:val="18"/>
                <w:szCs w:val="18"/>
              </w:rPr>
              <w:t>.植被覆盖率（%）</w:t>
            </w:r>
          </w:p>
        </w:tc>
        <w:tc>
          <w:tcPr>
            <w:tcW w:w="1740" w:type="dxa"/>
            <w:gridSpan w:val="4"/>
            <w:vAlign w:val="center"/>
          </w:tcPr>
          <w:p w14:paraId="0D16F512">
            <w:pPr>
              <w:spacing w:line="240" w:lineRule="auto"/>
              <w:rPr>
                <w:rFonts w:ascii="Times New Roman" w:hAnsi="Times New Roman"/>
                <w:sz w:val="18"/>
                <w:szCs w:val="18"/>
              </w:rPr>
            </w:pPr>
          </w:p>
        </w:tc>
      </w:tr>
      <w:tr w14:paraId="7FDF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501" w:type="dxa"/>
            <w:gridSpan w:val="2"/>
            <w:vAlign w:val="center"/>
          </w:tcPr>
          <w:p w14:paraId="3F62E299">
            <w:pPr>
              <w:spacing w:line="240" w:lineRule="auto"/>
              <w:rPr>
                <w:rFonts w:ascii="Times New Roman" w:hAnsi="Times New Roman"/>
                <w:sz w:val="18"/>
                <w:szCs w:val="18"/>
              </w:rPr>
            </w:pPr>
            <w:r>
              <w:rPr>
                <w:rFonts w:ascii="Times New Roman" w:hAnsi="Times New Roman"/>
                <w:bCs/>
                <w:sz w:val="18"/>
                <w:szCs w:val="18"/>
              </w:rPr>
              <w:t>7</w:t>
            </w:r>
            <w:r>
              <w:rPr>
                <w:rFonts w:ascii="Times New Roman" w:hAnsi="Times New Roman"/>
                <w:sz w:val="18"/>
                <w:szCs w:val="18"/>
              </w:rPr>
              <w:t>.冲淤变幅（m）</w:t>
            </w:r>
          </w:p>
        </w:tc>
        <w:tc>
          <w:tcPr>
            <w:tcW w:w="896" w:type="dxa"/>
            <w:gridSpan w:val="2"/>
            <w:vAlign w:val="center"/>
          </w:tcPr>
          <w:p w14:paraId="4F9BD881">
            <w:pPr>
              <w:spacing w:line="240" w:lineRule="auto"/>
              <w:rPr>
                <w:rFonts w:ascii="Times New Roman" w:hAnsi="Times New Roman"/>
                <w:sz w:val="18"/>
                <w:szCs w:val="18"/>
              </w:rPr>
            </w:pPr>
            <w:r>
              <w:rPr>
                <w:rFonts w:ascii="Times New Roman" w:hAnsi="Times New Roman"/>
                <w:sz w:val="18"/>
                <w:szCs w:val="18"/>
              </w:rPr>
              <w:t>±</w:t>
            </w:r>
          </w:p>
        </w:tc>
        <w:tc>
          <w:tcPr>
            <w:tcW w:w="1428" w:type="dxa"/>
            <w:gridSpan w:val="4"/>
            <w:vAlign w:val="center"/>
          </w:tcPr>
          <w:p w14:paraId="28CDAD4C">
            <w:pPr>
              <w:spacing w:line="240" w:lineRule="auto"/>
              <w:rPr>
                <w:rFonts w:ascii="Times New Roman" w:hAnsi="Times New Roman"/>
                <w:sz w:val="18"/>
                <w:szCs w:val="18"/>
              </w:rPr>
            </w:pPr>
            <w:r>
              <w:rPr>
                <w:rFonts w:ascii="Times New Roman" w:hAnsi="Times New Roman"/>
                <w:bCs/>
                <w:sz w:val="18"/>
                <w:szCs w:val="18"/>
              </w:rPr>
              <w:t>8</w:t>
            </w:r>
            <w:r>
              <w:rPr>
                <w:rFonts w:ascii="Times New Roman" w:hAnsi="Times New Roman"/>
                <w:sz w:val="18"/>
                <w:szCs w:val="18"/>
              </w:rPr>
              <w:t>.岩性因素</w:t>
            </w:r>
          </w:p>
        </w:tc>
        <w:tc>
          <w:tcPr>
            <w:tcW w:w="5824" w:type="dxa"/>
            <w:gridSpan w:val="18"/>
            <w:vAlign w:val="center"/>
          </w:tcPr>
          <w:p w14:paraId="757E0DAE">
            <w:pPr>
              <w:spacing w:line="240" w:lineRule="auto"/>
              <w:rPr>
                <w:rFonts w:ascii="Times New Roman" w:hAnsi="Times New Roman"/>
                <w:sz w:val="18"/>
                <w:szCs w:val="18"/>
              </w:rPr>
            </w:pPr>
            <w:r>
              <w:rPr>
                <w:rFonts w:ascii="Times New Roman" w:hAnsi="Times New Roman"/>
                <w:sz w:val="18"/>
                <w:szCs w:val="18"/>
              </w:rPr>
              <w:t>□土及软岩  □软硬相间  □风化和节理发育的硬岩  □硬岩</w:t>
            </w:r>
          </w:p>
        </w:tc>
      </w:tr>
      <w:tr w14:paraId="45876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501" w:type="dxa"/>
            <w:gridSpan w:val="2"/>
            <w:vAlign w:val="center"/>
          </w:tcPr>
          <w:p w14:paraId="4505AF09">
            <w:pPr>
              <w:spacing w:line="240" w:lineRule="auto"/>
              <w:rPr>
                <w:rFonts w:ascii="Times New Roman" w:hAnsi="Times New Roman"/>
                <w:sz w:val="18"/>
                <w:szCs w:val="18"/>
              </w:rPr>
            </w:pPr>
            <w:r>
              <w:rPr>
                <w:rFonts w:ascii="Times New Roman" w:hAnsi="Times New Roman"/>
                <w:bCs/>
                <w:sz w:val="18"/>
                <w:szCs w:val="18"/>
              </w:rPr>
              <w:t>9</w:t>
            </w:r>
            <w:r>
              <w:rPr>
                <w:rFonts w:ascii="Times New Roman" w:hAnsi="Times New Roman"/>
                <w:sz w:val="18"/>
                <w:szCs w:val="18"/>
              </w:rPr>
              <w:t>.松散物储量</w:t>
            </w:r>
          </w:p>
          <w:p w14:paraId="0618BC12">
            <w:pPr>
              <w:spacing w:line="240" w:lineRule="auto"/>
              <w:rPr>
                <w:rFonts w:ascii="Times New Roman" w:hAnsi="Times New Roman"/>
                <w:bCs/>
                <w:sz w:val="18"/>
                <w:szCs w:val="18"/>
              </w:rPr>
            </w:pPr>
            <w:r>
              <w:rPr>
                <w:rFonts w:ascii="Times New Roman" w:hAnsi="Times New Roman"/>
                <w:sz w:val="18"/>
                <w:szCs w:val="18"/>
              </w:rPr>
              <w:t>（10</w:t>
            </w:r>
            <w:r>
              <w:rPr>
                <w:rFonts w:ascii="Times New Roman" w:hAnsi="Times New Roman"/>
                <w:sz w:val="18"/>
                <w:szCs w:val="18"/>
                <w:vertAlign w:val="superscript"/>
              </w:rPr>
              <w:t>4</w:t>
            </w:r>
            <w:r>
              <w:rPr>
                <w:rFonts w:ascii="Times New Roman" w:hAnsi="Times New Roman"/>
                <w:sz w:val="18"/>
                <w:szCs w:val="18"/>
              </w:rPr>
              <w:t>m</w:t>
            </w:r>
            <w:r>
              <w:rPr>
                <w:rFonts w:ascii="Times New Roman" w:hAnsi="Times New Roman"/>
                <w:sz w:val="18"/>
                <w:szCs w:val="18"/>
                <w:vertAlign w:val="superscript"/>
              </w:rPr>
              <w:t>3</w:t>
            </w:r>
            <w:r>
              <w:rPr>
                <w:rFonts w:ascii="Times New Roman" w:hAnsi="Times New Roman"/>
                <w:sz w:val="18"/>
                <w:szCs w:val="18"/>
              </w:rPr>
              <w:t>/km</w:t>
            </w:r>
            <w:r>
              <w:rPr>
                <w:rFonts w:ascii="Times New Roman" w:hAnsi="Times New Roman"/>
                <w:sz w:val="18"/>
                <w:szCs w:val="18"/>
                <w:vertAlign w:val="superscript"/>
              </w:rPr>
              <w:t>2</w:t>
            </w:r>
            <w:r>
              <w:rPr>
                <w:rFonts w:ascii="Times New Roman" w:hAnsi="Times New Roman"/>
                <w:sz w:val="18"/>
                <w:szCs w:val="18"/>
              </w:rPr>
              <w:t>）</w:t>
            </w:r>
          </w:p>
        </w:tc>
        <w:tc>
          <w:tcPr>
            <w:tcW w:w="896" w:type="dxa"/>
            <w:gridSpan w:val="2"/>
            <w:vAlign w:val="center"/>
          </w:tcPr>
          <w:p w14:paraId="7DF3C32C">
            <w:pPr>
              <w:spacing w:line="240" w:lineRule="auto"/>
              <w:rPr>
                <w:rFonts w:ascii="Times New Roman" w:hAnsi="Times New Roman"/>
                <w:sz w:val="18"/>
                <w:szCs w:val="18"/>
              </w:rPr>
            </w:pPr>
          </w:p>
        </w:tc>
        <w:tc>
          <w:tcPr>
            <w:tcW w:w="1428" w:type="dxa"/>
            <w:gridSpan w:val="4"/>
            <w:vAlign w:val="center"/>
          </w:tcPr>
          <w:p w14:paraId="0B935783">
            <w:pPr>
              <w:spacing w:line="240" w:lineRule="auto"/>
              <w:rPr>
                <w:rFonts w:ascii="Times New Roman" w:hAnsi="Times New Roman"/>
                <w:sz w:val="18"/>
                <w:szCs w:val="18"/>
              </w:rPr>
            </w:pPr>
            <w:r>
              <w:rPr>
                <w:rFonts w:ascii="Times New Roman" w:hAnsi="Times New Roman"/>
                <w:bCs/>
                <w:sz w:val="18"/>
                <w:szCs w:val="18"/>
              </w:rPr>
              <w:t>10</w:t>
            </w:r>
            <w:r>
              <w:rPr>
                <w:rFonts w:ascii="Times New Roman" w:hAnsi="Times New Roman"/>
                <w:sz w:val="18"/>
                <w:szCs w:val="18"/>
              </w:rPr>
              <w:t>.山坡坡度（°）</w:t>
            </w:r>
          </w:p>
        </w:tc>
        <w:tc>
          <w:tcPr>
            <w:tcW w:w="790" w:type="dxa"/>
            <w:gridSpan w:val="4"/>
            <w:vAlign w:val="center"/>
          </w:tcPr>
          <w:p w14:paraId="2E90FF0D">
            <w:pPr>
              <w:spacing w:line="240" w:lineRule="auto"/>
              <w:rPr>
                <w:rFonts w:ascii="Times New Roman" w:hAnsi="Times New Roman"/>
                <w:sz w:val="18"/>
                <w:szCs w:val="18"/>
              </w:rPr>
            </w:pPr>
          </w:p>
        </w:tc>
        <w:tc>
          <w:tcPr>
            <w:tcW w:w="1351" w:type="dxa"/>
            <w:gridSpan w:val="5"/>
            <w:vAlign w:val="center"/>
          </w:tcPr>
          <w:p w14:paraId="0B9573FC">
            <w:pPr>
              <w:spacing w:line="240" w:lineRule="auto"/>
              <w:rPr>
                <w:rFonts w:ascii="Times New Roman" w:hAnsi="Times New Roman"/>
                <w:sz w:val="18"/>
                <w:szCs w:val="18"/>
              </w:rPr>
            </w:pPr>
            <w:r>
              <w:rPr>
                <w:rFonts w:ascii="Times New Roman" w:hAnsi="Times New Roman"/>
                <w:bCs/>
                <w:sz w:val="18"/>
                <w:szCs w:val="18"/>
              </w:rPr>
              <w:t>11</w:t>
            </w:r>
            <w:r>
              <w:rPr>
                <w:rFonts w:ascii="Times New Roman" w:hAnsi="Times New Roman"/>
                <w:sz w:val="18"/>
                <w:szCs w:val="18"/>
              </w:rPr>
              <w:t>.沟槽横断面</w:t>
            </w:r>
          </w:p>
        </w:tc>
        <w:tc>
          <w:tcPr>
            <w:tcW w:w="3683" w:type="dxa"/>
            <w:gridSpan w:val="9"/>
            <w:vAlign w:val="center"/>
          </w:tcPr>
          <w:p w14:paraId="7F8F515A">
            <w:pPr>
              <w:spacing w:line="240" w:lineRule="auto"/>
              <w:rPr>
                <w:rFonts w:ascii="Times New Roman" w:hAnsi="Times New Roman"/>
                <w:sz w:val="18"/>
                <w:szCs w:val="18"/>
              </w:rPr>
            </w:pPr>
            <w:r>
              <w:rPr>
                <w:rFonts w:ascii="Times New Roman" w:hAnsi="Times New Roman"/>
                <w:sz w:val="18"/>
                <w:szCs w:val="18"/>
              </w:rPr>
              <w:t>□V型谷（谷中谷、U型谷）  □拓宽U型谷</w:t>
            </w:r>
          </w:p>
          <w:p w14:paraId="3830DC7C">
            <w:pPr>
              <w:spacing w:line="240" w:lineRule="auto"/>
              <w:rPr>
                <w:rFonts w:ascii="Times New Roman" w:hAnsi="Times New Roman"/>
                <w:sz w:val="18"/>
                <w:szCs w:val="18"/>
              </w:rPr>
            </w:pPr>
            <w:r>
              <w:rPr>
                <w:rFonts w:ascii="Times New Roman" w:hAnsi="Times New Roman"/>
                <w:sz w:val="18"/>
                <w:szCs w:val="18"/>
              </w:rPr>
              <w:t>□复式断面  □平坦型</w:t>
            </w:r>
          </w:p>
        </w:tc>
      </w:tr>
      <w:tr w14:paraId="11E6C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1" w:type="dxa"/>
            <w:gridSpan w:val="2"/>
            <w:vAlign w:val="center"/>
          </w:tcPr>
          <w:p w14:paraId="7648F607">
            <w:pPr>
              <w:spacing w:line="240" w:lineRule="auto"/>
              <w:rPr>
                <w:rFonts w:ascii="Times New Roman" w:hAnsi="Times New Roman"/>
                <w:sz w:val="18"/>
                <w:szCs w:val="18"/>
              </w:rPr>
            </w:pPr>
            <w:r>
              <w:rPr>
                <w:rFonts w:ascii="Times New Roman" w:hAnsi="Times New Roman"/>
                <w:bCs/>
                <w:sz w:val="18"/>
                <w:szCs w:val="18"/>
              </w:rPr>
              <w:t>12</w:t>
            </w:r>
            <w:r>
              <w:rPr>
                <w:rFonts w:ascii="Times New Roman" w:hAnsi="Times New Roman"/>
                <w:sz w:val="18"/>
                <w:szCs w:val="18"/>
              </w:rPr>
              <w:t>.松散物平均厚度（m）</w:t>
            </w:r>
          </w:p>
        </w:tc>
        <w:tc>
          <w:tcPr>
            <w:tcW w:w="2576" w:type="dxa"/>
            <w:gridSpan w:val="8"/>
            <w:vAlign w:val="center"/>
          </w:tcPr>
          <w:p w14:paraId="681368CC">
            <w:pPr>
              <w:spacing w:line="240" w:lineRule="auto"/>
              <w:rPr>
                <w:rFonts w:ascii="Times New Roman" w:hAnsi="Times New Roman"/>
                <w:sz w:val="18"/>
                <w:szCs w:val="18"/>
              </w:rPr>
            </w:pPr>
          </w:p>
        </w:tc>
        <w:tc>
          <w:tcPr>
            <w:tcW w:w="1889" w:type="dxa"/>
            <w:gridSpan w:val="7"/>
            <w:vAlign w:val="center"/>
          </w:tcPr>
          <w:p w14:paraId="4BA8367F">
            <w:pPr>
              <w:spacing w:line="240" w:lineRule="auto"/>
              <w:rPr>
                <w:rFonts w:ascii="Times New Roman" w:hAnsi="Times New Roman"/>
                <w:sz w:val="18"/>
                <w:szCs w:val="18"/>
              </w:rPr>
            </w:pPr>
            <w:r>
              <w:rPr>
                <w:rFonts w:ascii="Times New Roman" w:hAnsi="Times New Roman"/>
                <w:bCs/>
                <w:sz w:val="18"/>
                <w:szCs w:val="18"/>
              </w:rPr>
              <w:t>13</w:t>
            </w:r>
            <w:r>
              <w:rPr>
                <w:rFonts w:ascii="Times New Roman" w:hAnsi="Times New Roman"/>
                <w:sz w:val="18"/>
                <w:szCs w:val="18"/>
              </w:rPr>
              <w:t>.流域面积（km</w:t>
            </w:r>
            <w:r>
              <w:rPr>
                <w:rFonts w:ascii="Times New Roman" w:hAnsi="Times New Roman"/>
                <w:sz w:val="18"/>
                <w:szCs w:val="18"/>
                <w:vertAlign w:val="superscript"/>
              </w:rPr>
              <w:t>2</w:t>
            </w:r>
            <w:r>
              <w:rPr>
                <w:rFonts w:ascii="Times New Roman" w:hAnsi="Times New Roman"/>
                <w:sz w:val="18"/>
                <w:szCs w:val="18"/>
              </w:rPr>
              <w:t>）</w:t>
            </w:r>
          </w:p>
        </w:tc>
        <w:tc>
          <w:tcPr>
            <w:tcW w:w="3683" w:type="dxa"/>
            <w:gridSpan w:val="9"/>
            <w:vAlign w:val="center"/>
          </w:tcPr>
          <w:p w14:paraId="0F3F7E8E">
            <w:pPr>
              <w:spacing w:line="240" w:lineRule="auto"/>
              <w:rPr>
                <w:rFonts w:ascii="Times New Roman" w:hAnsi="Times New Roman"/>
                <w:sz w:val="18"/>
                <w:szCs w:val="18"/>
              </w:rPr>
            </w:pPr>
          </w:p>
        </w:tc>
      </w:tr>
      <w:tr w14:paraId="53596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1" w:type="dxa"/>
            <w:gridSpan w:val="2"/>
            <w:vAlign w:val="center"/>
          </w:tcPr>
          <w:p w14:paraId="5E77BE3D">
            <w:pPr>
              <w:spacing w:line="240" w:lineRule="auto"/>
              <w:rPr>
                <w:rFonts w:ascii="Times New Roman" w:hAnsi="Times New Roman"/>
                <w:sz w:val="18"/>
                <w:szCs w:val="18"/>
              </w:rPr>
            </w:pPr>
            <w:r>
              <w:rPr>
                <w:rFonts w:ascii="Times New Roman" w:hAnsi="Times New Roman"/>
                <w:bCs/>
                <w:sz w:val="18"/>
                <w:szCs w:val="18"/>
              </w:rPr>
              <w:t>14</w:t>
            </w:r>
            <w:r>
              <w:rPr>
                <w:rFonts w:ascii="Times New Roman" w:hAnsi="Times New Roman"/>
                <w:sz w:val="18"/>
                <w:szCs w:val="18"/>
              </w:rPr>
              <w:t>.相对高差（m）</w:t>
            </w:r>
          </w:p>
        </w:tc>
        <w:tc>
          <w:tcPr>
            <w:tcW w:w="2576" w:type="dxa"/>
            <w:gridSpan w:val="8"/>
            <w:vAlign w:val="center"/>
          </w:tcPr>
          <w:p w14:paraId="32CA17A2">
            <w:pPr>
              <w:spacing w:line="240" w:lineRule="auto"/>
              <w:rPr>
                <w:rFonts w:ascii="Times New Roman" w:hAnsi="Times New Roman"/>
                <w:sz w:val="18"/>
                <w:szCs w:val="18"/>
              </w:rPr>
            </w:pPr>
          </w:p>
        </w:tc>
        <w:tc>
          <w:tcPr>
            <w:tcW w:w="1889" w:type="dxa"/>
            <w:gridSpan w:val="7"/>
            <w:vAlign w:val="center"/>
          </w:tcPr>
          <w:p w14:paraId="0DF963CB">
            <w:pPr>
              <w:spacing w:line="240" w:lineRule="auto"/>
              <w:rPr>
                <w:rFonts w:ascii="Times New Roman" w:hAnsi="Times New Roman"/>
                <w:sz w:val="18"/>
                <w:szCs w:val="18"/>
              </w:rPr>
            </w:pPr>
            <w:r>
              <w:rPr>
                <w:rFonts w:ascii="Times New Roman" w:hAnsi="Times New Roman"/>
                <w:bCs/>
                <w:sz w:val="18"/>
                <w:szCs w:val="18"/>
              </w:rPr>
              <w:t>15</w:t>
            </w:r>
            <w:r>
              <w:rPr>
                <w:rFonts w:ascii="Times New Roman" w:hAnsi="Times New Roman"/>
                <w:sz w:val="18"/>
                <w:szCs w:val="18"/>
              </w:rPr>
              <w:t>.堵塞程度</w:t>
            </w:r>
          </w:p>
        </w:tc>
        <w:tc>
          <w:tcPr>
            <w:tcW w:w="3683" w:type="dxa"/>
            <w:gridSpan w:val="9"/>
            <w:vAlign w:val="center"/>
          </w:tcPr>
          <w:p w14:paraId="3376103B">
            <w:pPr>
              <w:spacing w:line="240" w:lineRule="auto"/>
              <w:rPr>
                <w:rFonts w:ascii="Times New Roman" w:hAnsi="Times New Roman"/>
                <w:sz w:val="18"/>
                <w:szCs w:val="18"/>
              </w:rPr>
            </w:pPr>
            <w:r>
              <w:rPr>
                <w:rFonts w:ascii="Times New Roman" w:hAnsi="Times New Roman"/>
                <w:sz w:val="18"/>
                <w:szCs w:val="18"/>
              </w:rPr>
              <w:t>□严重 □中等 □轻微 □无</w:t>
            </w:r>
          </w:p>
        </w:tc>
      </w:tr>
      <w:tr w14:paraId="6C54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jc w:val="center"/>
        </w:trPr>
        <w:tc>
          <w:tcPr>
            <w:tcW w:w="1501" w:type="dxa"/>
            <w:gridSpan w:val="2"/>
            <w:vMerge w:val="restart"/>
            <w:vAlign w:val="center"/>
          </w:tcPr>
          <w:p w14:paraId="2779FD60">
            <w:pPr>
              <w:spacing w:line="240" w:lineRule="auto"/>
              <w:rPr>
                <w:rFonts w:ascii="Times New Roman" w:hAnsi="Times New Roman"/>
                <w:sz w:val="18"/>
                <w:szCs w:val="18"/>
              </w:rPr>
            </w:pPr>
            <w:r>
              <w:rPr>
                <w:rFonts w:ascii="Times New Roman" w:hAnsi="Times New Roman"/>
                <w:sz w:val="18"/>
                <w:szCs w:val="18"/>
              </w:rPr>
              <w:t>评    分</w:t>
            </w:r>
          </w:p>
        </w:tc>
        <w:tc>
          <w:tcPr>
            <w:tcW w:w="509" w:type="dxa"/>
            <w:vAlign w:val="center"/>
          </w:tcPr>
          <w:p w14:paraId="0DFA227F">
            <w:pPr>
              <w:spacing w:line="240" w:lineRule="auto"/>
              <w:jc w:val="center"/>
              <w:rPr>
                <w:rFonts w:ascii="Times New Roman" w:hAnsi="Times New Roman"/>
                <w:sz w:val="18"/>
                <w:szCs w:val="18"/>
              </w:rPr>
            </w:pPr>
            <w:r>
              <w:rPr>
                <w:rFonts w:ascii="Times New Roman" w:hAnsi="Times New Roman"/>
                <w:sz w:val="18"/>
                <w:szCs w:val="18"/>
              </w:rPr>
              <w:t>1</w:t>
            </w:r>
          </w:p>
        </w:tc>
        <w:tc>
          <w:tcPr>
            <w:tcW w:w="509" w:type="dxa"/>
            <w:gridSpan w:val="2"/>
            <w:vAlign w:val="center"/>
          </w:tcPr>
          <w:p w14:paraId="500A14B6">
            <w:pPr>
              <w:spacing w:line="240" w:lineRule="auto"/>
              <w:jc w:val="center"/>
              <w:rPr>
                <w:rFonts w:ascii="Times New Roman" w:hAnsi="Times New Roman"/>
                <w:sz w:val="18"/>
                <w:szCs w:val="18"/>
              </w:rPr>
            </w:pPr>
            <w:r>
              <w:rPr>
                <w:rFonts w:ascii="Times New Roman" w:hAnsi="Times New Roman"/>
                <w:sz w:val="18"/>
                <w:szCs w:val="18"/>
              </w:rPr>
              <w:t>2</w:t>
            </w:r>
          </w:p>
        </w:tc>
        <w:tc>
          <w:tcPr>
            <w:tcW w:w="509" w:type="dxa"/>
            <w:vAlign w:val="center"/>
          </w:tcPr>
          <w:p w14:paraId="2DC97B43">
            <w:pPr>
              <w:spacing w:line="240" w:lineRule="auto"/>
              <w:jc w:val="center"/>
              <w:rPr>
                <w:rFonts w:ascii="Times New Roman" w:hAnsi="Times New Roman"/>
                <w:sz w:val="18"/>
                <w:szCs w:val="18"/>
              </w:rPr>
            </w:pPr>
            <w:r>
              <w:rPr>
                <w:rFonts w:ascii="Times New Roman" w:hAnsi="Times New Roman"/>
                <w:sz w:val="18"/>
                <w:szCs w:val="18"/>
              </w:rPr>
              <w:t>3</w:t>
            </w:r>
          </w:p>
        </w:tc>
        <w:tc>
          <w:tcPr>
            <w:tcW w:w="509" w:type="dxa"/>
            <w:vAlign w:val="center"/>
          </w:tcPr>
          <w:p w14:paraId="258A7775">
            <w:pPr>
              <w:spacing w:line="240" w:lineRule="auto"/>
              <w:jc w:val="center"/>
              <w:rPr>
                <w:rFonts w:ascii="Times New Roman" w:hAnsi="Times New Roman"/>
                <w:sz w:val="18"/>
                <w:szCs w:val="18"/>
              </w:rPr>
            </w:pPr>
            <w:r>
              <w:rPr>
                <w:rFonts w:ascii="Times New Roman" w:hAnsi="Times New Roman"/>
                <w:sz w:val="18"/>
                <w:szCs w:val="18"/>
              </w:rPr>
              <w:t>4</w:t>
            </w:r>
          </w:p>
        </w:tc>
        <w:tc>
          <w:tcPr>
            <w:tcW w:w="509" w:type="dxa"/>
            <w:gridSpan w:val="2"/>
            <w:vAlign w:val="center"/>
          </w:tcPr>
          <w:p w14:paraId="4C158D3C">
            <w:pPr>
              <w:spacing w:line="240" w:lineRule="auto"/>
              <w:jc w:val="center"/>
              <w:rPr>
                <w:rFonts w:ascii="Times New Roman" w:hAnsi="Times New Roman"/>
                <w:sz w:val="18"/>
                <w:szCs w:val="18"/>
              </w:rPr>
            </w:pPr>
            <w:r>
              <w:rPr>
                <w:rFonts w:ascii="Times New Roman" w:hAnsi="Times New Roman"/>
                <w:sz w:val="18"/>
                <w:szCs w:val="18"/>
              </w:rPr>
              <w:t>5</w:t>
            </w:r>
          </w:p>
        </w:tc>
        <w:tc>
          <w:tcPr>
            <w:tcW w:w="509" w:type="dxa"/>
            <w:gridSpan w:val="2"/>
            <w:vAlign w:val="center"/>
          </w:tcPr>
          <w:p w14:paraId="71D80671">
            <w:pPr>
              <w:spacing w:line="240" w:lineRule="auto"/>
              <w:jc w:val="center"/>
              <w:rPr>
                <w:rFonts w:ascii="Times New Roman" w:hAnsi="Times New Roman"/>
                <w:sz w:val="18"/>
                <w:szCs w:val="18"/>
              </w:rPr>
            </w:pPr>
            <w:r>
              <w:rPr>
                <w:rFonts w:ascii="Times New Roman" w:hAnsi="Times New Roman"/>
                <w:sz w:val="18"/>
                <w:szCs w:val="18"/>
              </w:rPr>
              <w:t>6</w:t>
            </w:r>
          </w:p>
        </w:tc>
        <w:tc>
          <w:tcPr>
            <w:tcW w:w="509" w:type="dxa"/>
            <w:gridSpan w:val="3"/>
            <w:vAlign w:val="center"/>
          </w:tcPr>
          <w:p w14:paraId="077C207B">
            <w:pPr>
              <w:spacing w:line="240" w:lineRule="auto"/>
              <w:jc w:val="center"/>
              <w:rPr>
                <w:rFonts w:ascii="Times New Roman" w:hAnsi="Times New Roman"/>
                <w:sz w:val="18"/>
                <w:szCs w:val="18"/>
              </w:rPr>
            </w:pPr>
            <w:r>
              <w:rPr>
                <w:rFonts w:ascii="Times New Roman" w:hAnsi="Times New Roman"/>
                <w:sz w:val="18"/>
                <w:szCs w:val="18"/>
              </w:rPr>
              <w:t>7</w:t>
            </w:r>
          </w:p>
        </w:tc>
        <w:tc>
          <w:tcPr>
            <w:tcW w:w="509" w:type="dxa"/>
            <w:vAlign w:val="center"/>
          </w:tcPr>
          <w:p w14:paraId="3FF6B2E0">
            <w:pPr>
              <w:spacing w:line="240" w:lineRule="auto"/>
              <w:jc w:val="center"/>
              <w:rPr>
                <w:rFonts w:ascii="Times New Roman" w:hAnsi="Times New Roman"/>
                <w:sz w:val="18"/>
                <w:szCs w:val="18"/>
              </w:rPr>
            </w:pPr>
            <w:r>
              <w:rPr>
                <w:rFonts w:ascii="Times New Roman" w:hAnsi="Times New Roman"/>
                <w:sz w:val="18"/>
                <w:szCs w:val="18"/>
              </w:rPr>
              <w:t>8</w:t>
            </w:r>
          </w:p>
        </w:tc>
        <w:tc>
          <w:tcPr>
            <w:tcW w:w="509" w:type="dxa"/>
            <w:gridSpan w:val="3"/>
            <w:vAlign w:val="center"/>
          </w:tcPr>
          <w:p w14:paraId="76390AF2">
            <w:pPr>
              <w:spacing w:line="240" w:lineRule="auto"/>
              <w:jc w:val="center"/>
              <w:rPr>
                <w:rFonts w:ascii="Times New Roman" w:hAnsi="Times New Roman"/>
                <w:sz w:val="18"/>
                <w:szCs w:val="18"/>
              </w:rPr>
            </w:pPr>
            <w:r>
              <w:rPr>
                <w:rFonts w:ascii="Times New Roman" w:hAnsi="Times New Roman"/>
                <w:sz w:val="18"/>
                <w:szCs w:val="18"/>
              </w:rPr>
              <w:t>9</w:t>
            </w:r>
          </w:p>
        </w:tc>
        <w:tc>
          <w:tcPr>
            <w:tcW w:w="509" w:type="dxa"/>
            <w:vAlign w:val="center"/>
          </w:tcPr>
          <w:p w14:paraId="0565E260">
            <w:pPr>
              <w:spacing w:line="240" w:lineRule="auto"/>
              <w:jc w:val="center"/>
              <w:rPr>
                <w:rFonts w:ascii="Times New Roman" w:hAnsi="Times New Roman"/>
                <w:sz w:val="18"/>
                <w:szCs w:val="18"/>
              </w:rPr>
            </w:pPr>
            <w:r>
              <w:rPr>
                <w:rFonts w:ascii="Times New Roman" w:hAnsi="Times New Roman"/>
                <w:sz w:val="18"/>
                <w:szCs w:val="18"/>
              </w:rPr>
              <w:t>10</w:t>
            </w:r>
          </w:p>
        </w:tc>
        <w:tc>
          <w:tcPr>
            <w:tcW w:w="509" w:type="dxa"/>
            <w:vAlign w:val="center"/>
          </w:tcPr>
          <w:p w14:paraId="30AA251D">
            <w:pPr>
              <w:spacing w:line="240" w:lineRule="auto"/>
              <w:jc w:val="center"/>
              <w:rPr>
                <w:rFonts w:ascii="Times New Roman" w:hAnsi="Times New Roman"/>
                <w:sz w:val="18"/>
                <w:szCs w:val="18"/>
              </w:rPr>
            </w:pPr>
            <w:r>
              <w:rPr>
                <w:rFonts w:ascii="Times New Roman" w:hAnsi="Times New Roman"/>
                <w:sz w:val="18"/>
                <w:szCs w:val="18"/>
              </w:rPr>
              <w:t>11</w:t>
            </w:r>
          </w:p>
        </w:tc>
        <w:tc>
          <w:tcPr>
            <w:tcW w:w="509" w:type="dxa"/>
            <w:vAlign w:val="center"/>
          </w:tcPr>
          <w:p w14:paraId="0A5E91C5">
            <w:pPr>
              <w:spacing w:line="240" w:lineRule="auto"/>
              <w:jc w:val="center"/>
              <w:rPr>
                <w:rFonts w:ascii="Times New Roman" w:hAnsi="Times New Roman"/>
                <w:sz w:val="18"/>
                <w:szCs w:val="18"/>
              </w:rPr>
            </w:pPr>
            <w:r>
              <w:rPr>
                <w:rFonts w:ascii="Times New Roman" w:hAnsi="Times New Roman"/>
                <w:sz w:val="18"/>
                <w:szCs w:val="18"/>
              </w:rPr>
              <w:t>12</w:t>
            </w:r>
          </w:p>
        </w:tc>
        <w:tc>
          <w:tcPr>
            <w:tcW w:w="509" w:type="dxa"/>
            <w:gridSpan w:val="2"/>
            <w:vAlign w:val="center"/>
          </w:tcPr>
          <w:p w14:paraId="690AE9F0">
            <w:pPr>
              <w:spacing w:line="240" w:lineRule="auto"/>
              <w:jc w:val="center"/>
              <w:rPr>
                <w:rFonts w:ascii="Times New Roman" w:hAnsi="Times New Roman"/>
                <w:sz w:val="18"/>
                <w:szCs w:val="18"/>
              </w:rPr>
            </w:pPr>
            <w:r>
              <w:rPr>
                <w:rFonts w:ascii="Times New Roman" w:hAnsi="Times New Roman"/>
                <w:sz w:val="18"/>
                <w:szCs w:val="18"/>
              </w:rPr>
              <w:t>13</w:t>
            </w:r>
          </w:p>
        </w:tc>
        <w:tc>
          <w:tcPr>
            <w:tcW w:w="509" w:type="dxa"/>
            <w:vAlign w:val="center"/>
          </w:tcPr>
          <w:p w14:paraId="62BD7EF1">
            <w:pPr>
              <w:spacing w:line="240" w:lineRule="auto"/>
              <w:jc w:val="center"/>
              <w:rPr>
                <w:rFonts w:ascii="Times New Roman" w:hAnsi="Times New Roman"/>
                <w:sz w:val="18"/>
                <w:szCs w:val="18"/>
              </w:rPr>
            </w:pPr>
            <w:r>
              <w:rPr>
                <w:rFonts w:ascii="Times New Roman" w:hAnsi="Times New Roman"/>
                <w:sz w:val="18"/>
                <w:szCs w:val="18"/>
              </w:rPr>
              <w:t>14</w:t>
            </w:r>
          </w:p>
        </w:tc>
        <w:tc>
          <w:tcPr>
            <w:tcW w:w="509" w:type="dxa"/>
            <w:vAlign w:val="center"/>
          </w:tcPr>
          <w:p w14:paraId="1ABBCCD4">
            <w:pPr>
              <w:spacing w:line="240" w:lineRule="auto"/>
              <w:jc w:val="center"/>
              <w:rPr>
                <w:rFonts w:ascii="Times New Roman" w:hAnsi="Times New Roman"/>
                <w:sz w:val="18"/>
                <w:szCs w:val="18"/>
              </w:rPr>
            </w:pPr>
            <w:r>
              <w:rPr>
                <w:rFonts w:ascii="Times New Roman" w:hAnsi="Times New Roman"/>
                <w:sz w:val="18"/>
                <w:szCs w:val="18"/>
              </w:rPr>
              <w:t>15</w:t>
            </w:r>
          </w:p>
        </w:tc>
        <w:tc>
          <w:tcPr>
            <w:tcW w:w="513" w:type="dxa"/>
            <w:vAlign w:val="center"/>
          </w:tcPr>
          <w:p w14:paraId="31AD9C5C">
            <w:pPr>
              <w:spacing w:line="240" w:lineRule="auto"/>
              <w:jc w:val="center"/>
              <w:rPr>
                <w:rFonts w:ascii="Times New Roman" w:hAnsi="Times New Roman"/>
                <w:sz w:val="18"/>
                <w:szCs w:val="18"/>
              </w:rPr>
            </w:pPr>
            <w:r>
              <w:rPr>
                <w:rFonts w:ascii="Times New Roman" w:hAnsi="Times New Roman"/>
                <w:sz w:val="18"/>
                <w:szCs w:val="18"/>
              </w:rPr>
              <w:t>总分</w:t>
            </w:r>
          </w:p>
        </w:tc>
      </w:tr>
      <w:tr w14:paraId="4E7DF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01" w:type="dxa"/>
            <w:gridSpan w:val="2"/>
            <w:vMerge w:val="continue"/>
            <w:vAlign w:val="center"/>
          </w:tcPr>
          <w:p w14:paraId="78A29852">
            <w:pPr>
              <w:spacing w:line="240" w:lineRule="auto"/>
              <w:rPr>
                <w:rFonts w:ascii="Times New Roman" w:hAnsi="Times New Roman"/>
                <w:sz w:val="18"/>
                <w:szCs w:val="18"/>
              </w:rPr>
            </w:pPr>
          </w:p>
        </w:tc>
        <w:tc>
          <w:tcPr>
            <w:tcW w:w="509" w:type="dxa"/>
            <w:vAlign w:val="center"/>
          </w:tcPr>
          <w:p w14:paraId="10BA7781">
            <w:pPr>
              <w:spacing w:line="240" w:lineRule="auto"/>
              <w:rPr>
                <w:rFonts w:ascii="Times New Roman" w:hAnsi="Times New Roman"/>
                <w:sz w:val="18"/>
                <w:szCs w:val="18"/>
              </w:rPr>
            </w:pPr>
          </w:p>
        </w:tc>
        <w:tc>
          <w:tcPr>
            <w:tcW w:w="509" w:type="dxa"/>
            <w:gridSpan w:val="2"/>
            <w:vAlign w:val="center"/>
          </w:tcPr>
          <w:p w14:paraId="5C875120">
            <w:pPr>
              <w:spacing w:line="240" w:lineRule="auto"/>
              <w:rPr>
                <w:rFonts w:ascii="Times New Roman" w:hAnsi="Times New Roman"/>
                <w:sz w:val="18"/>
                <w:szCs w:val="18"/>
              </w:rPr>
            </w:pPr>
          </w:p>
        </w:tc>
        <w:tc>
          <w:tcPr>
            <w:tcW w:w="509" w:type="dxa"/>
            <w:vAlign w:val="center"/>
          </w:tcPr>
          <w:p w14:paraId="4E401A7B">
            <w:pPr>
              <w:spacing w:line="240" w:lineRule="auto"/>
              <w:rPr>
                <w:rFonts w:ascii="Times New Roman" w:hAnsi="Times New Roman"/>
                <w:sz w:val="18"/>
                <w:szCs w:val="18"/>
              </w:rPr>
            </w:pPr>
          </w:p>
        </w:tc>
        <w:tc>
          <w:tcPr>
            <w:tcW w:w="509" w:type="dxa"/>
            <w:vAlign w:val="center"/>
          </w:tcPr>
          <w:p w14:paraId="0C44C311">
            <w:pPr>
              <w:spacing w:line="240" w:lineRule="auto"/>
              <w:rPr>
                <w:rFonts w:ascii="Times New Roman" w:hAnsi="Times New Roman"/>
                <w:sz w:val="18"/>
                <w:szCs w:val="18"/>
              </w:rPr>
            </w:pPr>
          </w:p>
        </w:tc>
        <w:tc>
          <w:tcPr>
            <w:tcW w:w="509" w:type="dxa"/>
            <w:gridSpan w:val="2"/>
            <w:vAlign w:val="center"/>
          </w:tcPr>
          <w:p w14:paraId="44FC299C">
            <w:pPr>
              <w:spacing w:line="240" w:lineRule="auto"/>
              <w:rPr>
                <w:rFonts w:ascii="Times New Roman" w:hAnsi="Times New Roman"/>
                <w:sz w:val="18"/>
                <w:szCs w:val="18"/>
              </w:rPr>
            </w:pPr>
          </w:p>
        </w:tc>
        <w:tc>
          <w:tcPr>
            <w:tcW w:w="509" w:type="dxa"/>
            <w:gridSpan w:val="2"/>
            <w:vAlign w:val="center"/>
          </w:tcPr>
          <w:p w14:paraId="18D515A0">
            <w:pPr>
              <w:spacing w:line="240" w:lineRule="auto"/>
              <w:rPr>
                <w:rFonts w:ascii="Times New Roman" w:hAnsi="Times New Roman"/>
                <w:sz w:val="18"/>
                <w:szCs w:val="18"/>
              </w:rPr>
            </w:pPr>
          </w:p>
        </w:tc>
        <w:tc>
          <w:tcPr>
            <w:tcW w:w="509" w:type="dxa"/>
            <w:gridSpan w:val="3"/>
            <w:vAlign w:val="center"/>
          </w:tcPr>
          <w:p w14:paraId="41AB4755">
            <w:pPr>
              <w:spacing w:line="240" w:lineRule="auto"/>
              <w:rPr>
                <w:rFonts w:ascii="Times New Roman" w:hAnsi="Times New Roman"/>
                <w:sz w:val="18"/>
                <w:szCs w:val="18"/>
              </w:rPr>
            </w:pPr>
          </w:p>
        </w:tc>
        <w:tc>
          <w:tcPr>
            <w:tcW w:w="509" w:type="dxa"/>
            <w:vAlign w:val="center"/>
          </w:tcPr>
          <w:p w14:paraId="62DC6829">
            <w:pPr>
              <w:spacing w:line="240" w:lineRule="auto"/>
              <w:rPr>
                <w:rFonts w:ascii="Times New Roman" w:hAnsi="Times New Roman"/>
                <w:sz w:val="18"/>
                <w:szCs w:val="18"/>
              </w:rPr>
            </w:pPr>
          </w:p>
        </w:tc>
        <w:tc>
          <w:tcPr>
            <w:tcW w:w="509" w:type="dxa"/>
            <w:gridSpan w:val="3"/>
            <w:vAlign w:val="center"/>
          </w:tcPr>
          <w:p w14:paraId="3C94D665">
            <w:pPr>
              <w:spacing w:line="240" w:lineRule="auto"/>
              <w:rPr>
                <w:rFonts w:ascii="Times New Roman" w:hAnsi="Times New Roman"/>
                <w:sz w:val="18"/>
                <w:szCs w:val="18"/>
              </w:rPr>
            </w:pPr>
          </w:p>
        </w:tc>
        <w:tc>
          <w:tcPr>
            <w:tcW w:w="509" w:type="dxa"/>
            <w:vAlign w:val="center"/>
          </w:tcPr>
          <w:p w14:paraId="34F1B0F1">
            <w:pPr>
              <w:spacing w:line="240" w:lineRule="auto"/>
              <w:rPr>
                <w:rFonts w:ascii="Times New Roman" w:hAnsi="Times New Roman"/>
                <w:sz w:val="18"/>
                <w:szCs w:val="18"/>
              </w:rPr>
            </w:pPr>
          </w:p>
        </w:tc>
        <w:tc>
          <w:tcPr>
            <w:tcW w:w="509" w:type="dxa"/>
            <w:vAlign w:val="center"/>
          </w:tcPr>
          <w:p w14:paraId="371DD5A2">
            <w:pPr>
              <w:spacing w:line="240" w:lineRule="auto"/>
              <w:rPr>
                <w:rFonts w:ascii="Times New Roman" w:hAnsi="Times New Roman"/>
                <w:sz w:val="18"/>
                <w:szCs w:val="18"/>
              </w:rPr>
            </w:pPr>
          </w:p>
        </w:tc>
        <w:tc>
          <w:tcPr>
            <w:tcW w:w="509" w:type="dxa"/>
            <w:vAlign w:val="center"/>
          </w:tcPr>
          <w:p w14:paraId="0E9977A7">
            <w:pPr>
              <w:spacing w:line="240" w:lineRule="auto"/>
              <w:rPr>
                <w:rFonts w:ascii="Times New Roman" w:hAnsi="Times New Roman"/>
                <w:sz w:val="18"/>
                <w:szCs w:val="18"/>
              </w:rPr>
            </w:pPr>
          </w:p>
        </w:tc>
        <w:tc>
          <w:tcPr>
            <w:tcW w:w="509" w:type="dxa"/>
            <w:gridSpan w:val="2"/>
            <w:vAlign w:val="center"/>
          </w:tcPr>
          <w:p w14:paraId="3090064E">
            <w:pPr>
              <w:spacing w:line="240" w:lineRule="auto"/>
              <w:rPr>
                <w:rFonts w:ascii="Times New Roman" w:hAnsi="Times New Roman"/>
                <w:sz w:val="18"/>
                <w:szCs w:val="18"/>
              </w:rPr>
            </w:pPr>
          </w:p>
        </w:tc>
        <w:tc>
          <w:tcPr>
            <w:tcW w:w="509" w:type="dxa"/>
            <w:vAlign w:val="center"/>
          </w:tcPr>
          <w:p w14:paraId="204EA080">
            <w:pPr>
              <w:spacing w:line="240" w:lineRule="auto"/>
              <w:rPr>
                <w:rFonts w:ascii="Times New Roman" w:hAnsi="Times New Roman"/>
                <w:sz w:val="18"/>
                <w:szCs w:val="18"/>
              </w:rPr>
            </w:pPr>
          </w:p>
        </w:tc>
        <w:tc>
          <w:tcPr>
            <w:tcW w:w="509" w:type="dxa"/>
            <w:vAlign w:val="center"/>
          </w:tcPr>
          <w:p w14:paraId="037010E4">
            <w:pPr>
              <w:spacing w:line="240" w:lineRule="auto"/>
              <w:rPr>
                <w:rFonts w:ascii="Times New Roman" w:hAnsi="Times New Roman"/>
                <w:sz w:val="18"/>
                <w:szCs w:val="18"/>
              </w:rPr>
            </w:pPr>
          </w:p>
        </w:tc>
        <w:tc>
          <w:tcPr>
            <w:tcW w:w="513" w:type="dxa"/>
            <w:vAlign w:val="center"/>
          </w:tcPr>
          <w:p w14:paraId="7D44ABC1">
            <w:pPr>
              <w:spacing w:line="240" w:lineRule="auto"/>
              <w:rPr>
                <w:rFonts w:ascii="Times New Roman" w:hAnsi="Times New Roman"/>
                <w:sz w:val="18"/>
                <w:szCs w:val="18"/>
              </w:rPr>
            </w:pPr>
          </w:p>
        </w:tc>
      </w:tr>
      <w:tr w14:paraId="7F479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1501" w:type="dxa"/>
            <w:gridSpan w:val="2"/>
            <w:tcBorders>
              <w:bottom w:val="single" w:color="auto" w:sz="4" w:space="0"/>
            </w:tcBorders>
            <w:vAlign w:val="center"/>
          </w:tcPr>
          <w:p w14:paraId="5248EDD5">
            <w:pPr>
              <w:spacing w:line="240" w:lineRule="auto"/>
              <w:rPr>
                <w:rFonts w:ascii="Times New Roman" w:hAnsi="Times New Roman"/>
                <w:sz w:val="18"/>
                <w:szCs w:val="18"/>
              </w:rPr>
            </w:pPr>
            <w:r>
              <w:rPr>
                <w:rFonts w:ascii="Times New Roman" w:hAnsi="Times New Roman"/>
                <w:sz w:val="18"/>
                <w:szCs w:val="18"/>
              </w:rPr>
              <w:t>易发程度</w:t>
            </w:r>
          </w:p>
        </w:tc>
        <w:tc>
          <w:tcPr>
            <w:tcW w:w="3373" w:type="dxa"/>
            <w:gridSpan w:val="11"/>
            <w:tcBorders>
              <w:bottom w:val="single" w:color="auto" w:sz="4" w:space="0"/>
            </w:tcBorders>
            <w:vAlign w:val="center"/>
          </w:tcPr>
          <w:p w14:paraId="52D8EC3B">
            <w:pPr>
              <w:spacing w:line="240" w:lineRule="auto"/>
              <w:rPr>
                <w:rFonts w:ascii="Times New Roman" w:hAnsi="Times New Roman"/>
                <w:sz w:val="18"/>
                <w:szCs w:val="18"/>
              </w:rPr>
            </w:pPr>
            <w:r>
              <w:rPr>
                <w:rFonts w:ascii="Times New Roman" w:hAnsi="Times New Roman"/>
                <w:sz w:val="18"/>
                <w:szCs w:val="18"/>
              </w:rPr>
              <w:t>□高易发  □</w:t>
            </w:r>
            <w:r>
              <w:rPr>
                <w:rFonts w:hint="eastAsia" w:ascii="Times New Roman" w:hAnsi="Times New Roman"/>
                <w:sz w:val="18"/>
                <w:szCs w:val="18"/>
              </w:rPr>
              <w:t>中</w:t>
            </w:r>
            <w:r>
              <w:rPr>
                <w:rFonts w:ascii="Times New Roman" w:hAnsi="Times New Roman"/>
                <w:sz w:val="18"/>
                <w:szCs w:val="18"/>
              </w:rPr>
              <w:t>易发  □</w:t>
            </w:r>
            <w:r>
              <w:rPr>
                <w:rFonts w:hint="eastAsia" w:ascii="Times New Roman" w:hAnsi="Times New Roman"/>
                <w:sz w:val="18"/>
                <w:szCs w:val="18"/>
              </w:rPr>
              <w:t>低</w:t>
            </w:r>
            <w:r>
              <w:rPr>
                <w:rFonts w:ascii="Times New Roman" w:hAnsi="Times New Roman"/>
                <w:sz w:val="18"/>
                <w:szCs w:val="18"/>
              </w:rPr>
              <w:t>易发  □</w:t>
            </w:r>
            <w:r>
              <w:rPr>
                <w:rFonts w:hint="eastAsia" w:ascii="Times New Roman" w:hAnsi="Times New Roman"/>
                <w:sz w:val="18"/>
                <w:szCs w:val="18"/>
              </w:rPr>
              <w:t>非</w:t>
            </w:r>
            <w:r>
              <w:rPr>
                <w:rFonts w:ascii="Times New Roman" w:hAnsi="Times New Roman"/>
                <w:sz w:val="18"/>
                <w:szCs w:val="18"/>
              </w:rPr>
              <w:t>易发</w:t>
            </w:r>
          </w:p>
        </w:tc>
        <w:tc>
          <w:tcPr>
            <w:tcW w:w="851" w:type="dxa"/>
            <w:gridSpan w:val="3"/>
            <w:tcBorders>
              <w:bottom w:val="single" w:color="auto" w:sz="4" w:space="0"/>
            </w:tcBorders>
            <w:vAlign w:val="center"/>
          </w:tcPr>
          <w:p w14:paraId="66EB63D4">
            <w:pPr>
              <w:spacing w:line="240" w:lineRule="auto"/>
              <w:jc w:val="center"/>
              <w:rPr>
                <w:rFonts w:ascii="Times New Roman" w:hAnsi="Times New Roman"/>
                <w:sz w:val="18"/>
                <w:szCs w:val="18"/>
              </w:rPr>
            </w:pPr>
            <w:r>
              <w:rPr>
                <w:rFonts w:ascii="Times New Roman" w:hAnsi="Times New Roman"/>
                <w:sz w:val="18"/>
                <w:szCs w:val="18"/>
              </w:rPr>
              <w:t>发展</w:t>
            </w:r>
          </w:p>
          <w:p w14:paraId="6F61B865">
            <w:pPr>
              <w:spacing w:line="240" w:lineRule="auto"/>
              <w:jc w:val="center"/>
              <w:rPr>
                <w:rFonts w:ascii="Times New Roman" w:hAnsi="Times New Roman"/>
                <w:sz w:val="18"/>
                <w:szCs w:val="18"/>
              </w:rPr>
            </w:pPr>
            <w:r>
              <w:rPr>
                <w:rFonts w:ascii="Times New Roman" w:hAnsi="Times New Roman"/>
                <w:sz w:val="18"/>
                <w:szCs w:val="18"/>
              </w:rPr>
              <w:t>阶段</w:t>
            </w:r>
          </w:p>
        </w:tc>
        <w:tc>
          <w:tcPr>
            <w:tcW w:w="3924" w:type="dxa"/>
            <w:gridSpan w:val="10"/>
            <w:tcBorders>
              <w:bottom w:val="single" w:color="auto" w:sz="4" w:space="0"/>
            </w:tcBorders>
            <w:vAlign w:val="center"/>
          </w:tcPr>
          <w:p w14:paraId="12EBE89D">
            <w:pPr>
              <w:spacing w:line="240" w:lineRule="auto"/>
              <w:rPr>
                <w:rFonts w:ascii="Times New Roman" w:hAnsi="Times New Roman"/>
                <w:sz w:val="18"/>
                <w:szCs w:val="18"/>
              </w:rPr>
            </w:pPr>
            <w:r>
              <w:rPr>
                <w:rFonts w:ascii="Times New Roman" w:hAnsi="Times New Roman"/>
                <w:sz w:val="18"/>
                <w:szCs w:val="18"/>
              </w:rPr>
              <w:t>□发展期  □活跃期  □衰退期  □停歇或终止期</w:t>
            </w:r>
          </w:p>
        </w:tc>
      </w:tr>
    </w:tbl>
    <w:p w14:paraId="652AA06F">
      <w:pPr>
        <w:pStyle w:val="58"/>
        <w:pageBreakBefore/>
        <w:spacing w:before="156" w:beforeLines="50" w:after="156" w:afterLines="50"/>
        <w:ind w:firstLine="0" w:firstLineChars="0"/>
        <w:jc w:val="center"/>
      </w:pPr>
      <w:bookmarkStart w:id="299" w:name="_Hlk174307425"/>
      <w:r>
        <w:rPr>
          <w:rFonts w:hint="eastAsia" w:ascii="黑体" w:hAnsi="黑体" w:eastAsia="黑体"/>
        </w:rPr>
        <w:t>表C</w:t>
      </w:r>
      <w:r>
        <w:rPr>
          <w:rFonts w:ascii="黑体" w:hAnsi="黑体" w:eastAsia="黑体"/>
        </w:rPr>
        <w:t>.6</w:t>
      </w:r>
      <w:r>
        <w:rPr>
          <w:rFonts w:hint="eastAsia" w:ascii="黑体" w:hAnsi="黑体" w:eastAsia="黑体"/>
        </w:rPr>
        <w:t>泥石流及隐患调查记录表（续）</w:t>
      </w:r>
    </w:p>
    <w:bookmarkEnd w:id="299"/>
    <w:tbl>
      <w:tblPr>
        <w:tblStyle w:val="29"/>
        <w:tblW w:w="0" w:type="auto"/>
        <w:jc w:val="center"/>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autofit"/>
        <w:tblCellMar>
          <w:top w:w="0" w:type="dxa"/>
          <w:left w:w="0" w:type="dxa"/>
          <w:bottom w:w="0" w:type="dxa"/>
          <w:right w:w="0" w:type="dxa"/>
        </w:tblCellMar>
      </w:tblPr>
      <w:tblGrid>
        <w:gridCol w:w="9334"/>
      </w:tblGrid>
      <w:tr w14:paraId="299BACF1">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6452" w:hRule="atLeast"/>
          <w:tblHeader/>
          <w:jc w:val="center"/>
        </w:trPr>
        <w:tc>
          <w:tcPr>
            <w:tcW w:w="9334" w:type="dxa"/>
            <w:shd w:val="clear" w:color="auto" w:fill="auto"/>
            <w:vAlign w:val="center"/>
          </w:tcPr>
          <w:p w14:paraId="2F59B2B8">
            <w:pPr>
              <w:rPr>
                <w:rFonts w:ascii="Times New Roman" w:hAnsi="Times New Roman"/>
                <w:sz w:val="18"/>
                <w:szCs w:val="18"/>
              </w:rPr>
            </w:pPr>
            <w:bookmarkStart w:id="300" w:name="_Hlk174307453"/>
            <w:r>
              <w:rPr>
                <w:rFonts w:ascii="Times New Roman" w:hAnsi="Times New Roman"/>
                <w:sz w:val="18"/>
                <w:szCs w:val="18"/>
              </w:rPr>
              <w:t>示意图：</w:t>
            </w:r>
          </w:p>
          <w:p w14:paraId="1F2A0201">
            <w:pPr>
              <w:pStyle w:val="180"/>
            </w:pPr>
          </w:p>
        </w:tc>
      </w:tr>
      <w:bookmarkEnd w:id="300"/>
    </w:tbl>
    <w:p w14:paraId="54466574">
      <w:pPr>
        <w:pStyle w:val="58"/>
        <w:ind w:firstLine="360"/>
      </w:pPr>
      <w:r>
        <w:rPr>
          <w:rFonts w:ascii="Times New Roman"/>
          <w:sz w:val="18"/>
          <w:szCs w:val="18"/>
        </w:rPr>
        <w:t>记    录：            校    核：           项目负责：             填表日期：      年     月     日</w:t>
      </w:r>
    </w:p>
    <w:p w14:paraId="2BAEED0E">
      <w:pPr>
        <w:pStyle w:val="58"/>
        <w:ind w:firstLine="420"/>
      </w:pPr>
    </w:p>
    <w:p w14:paraId="70C90AB9">
      <w:pPr>
        <w:pStyle w:val="58"/>
        <w:ind w:firstLine="420"/>
      </w:pPr>
    </w:p>
    <w:p w14:paraId="6BAD56D6">
      <w:pPr>
        <w:pStyle w:val="58"/>
        <w:ind w:firstLine="420"/>
      </w:pPr>
    </w:p>
    <w:p w14:paraId="73E944DA">
      <w:pPr>
        <w:pStyle w:val="58"/>
        <w:ind w:firstLine="420"/>
      </w:pPr>
    </w:p>
    <w:p w14:paraId="57035BCD">
      <w:pPr>
        <w:pStyle w:val="58"/>
        <w:ind w:firstLine="420"/>
      </w:pPr>
    </w:p>
    <w:p w14:paraId="36E5A403">
      <w:pPr>
        <w:pStyle w:val="58"/>
        <w:ind w:firstLine="420"/>
      </w:pPr>
    </w:p>
    <w:p w14:paraId="22D1C715">
      <w:pPr>
        <w:pStyle w:val="58"/>
        <w:ind w:firstLine="420"/>
      </w:pPr>
    </w:p>
    <w:p w14:paraId="64CF28C0">
      <w:pPr>
        <w:pStyle w:val="58"/>
        <w:ind w:firstLine="420"/>
      </w:pPr>
    </w:p>
    <w:p w14:paraId="7A5B2976">
      <w:pPr>
        <w:pStyle w:val="58"/>
        <w:ind w:firstLine="420"/>
      </w:pPr>
    </w:p>
    <w:p w14:paraId="16527A4C">
      <w:pPr>
        <w:pStyle w:val="58"/>
        <w:ind w:firstLine="420"/>
      </w:pPr>
    </w:p>
    <w:p w14:paraId="752A74C5">
      <w:pPr>
        <w:pStyle w:val="58"/>
        <w:ind w:firstLine="420"/>
      </w:pPr>
    </w:p>
    <w:p w14:paraId="78CEAE7C">
      <w:pPr>
        <w:pStyle w:val="58"/>
        <w:ind w:firstLine="420"/>
      </w:pPr>
    </w:p>
    <w:p w14:paraId="2C08D43E">
      <w:pPr>
        <w:pStyle w:val="58"/>
        <w:ind w:firstLine="420"/>
      </w:pPr>
    </w:p>
    <w:p w14:paraId="69C3187A">
      <w:pPr>
        <w:pStyle w:val="58"/>
        <w:ind w:firstLine="420"/>
      </w:pPr>
    </w:p>
    <w:p w14:paraId="7C8EE4DF">
      <w:pPr>
        <w:pStyle w:val="58"/>
        <w:ind w:firstLine="420"/>
      </w:pPr>
    </w:p>
    <w:p w14:paraId="10EF3613">
      <w:pPr>
        <w:pStyle w:val="58"/>
        <w:ind w:firstLine="420"/>
      </w:pPr>
    </w:p>
    <w:p w14:paraId="43FA4281">
      <w:pPr>
        <w:pStyle w:val="58"/>
        <w:ind w:firstLine="420"/>
      </w:pPr>
    </w:p>
    <w:p w14:paraId="72D63344">
      <w:pPr>
        <w:pStyle w:val="58"/>
        <w:ind w:firstLine="420"/>
      </w:pPr>
    </w:p>
    <w:p w14:paraId="1E79A0D4">
      <w:pPr>
        <w:pStyle w:val="58"/>
        <w:ind w:firstLine="420"/>
      </w:pPr>
    </w:p>
    <w:p w14:paraId="3B1BB8DC">
      <w:pPr>
        <w:pStyle w:val="58"/>
        <w:ind w:firstLine="420"/>
      </w:pPr>
    </w:p>
    <w:p w14:paraId="6BA25C71">
      <w:pPr>
        <w:pStyle w:val="79"/>
        <w:spacing w:before="156" w:after="156"/>
      </w:pPr>
      <w:r>
        <w:rPr>
          <w:rFonts w:hint="eastAsia"/>
        </w:rPr>
        <w:t>地面塌陷及隐患调查记录表</w:t>
      </w:r>
    </w:p>
    <w:tbl>
      <w:tblPr>
        <w:tblStyle w:val="28"/>
        <w:tblW w:w="95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1"/>
        <w:gridCol w:w="287"/>
        <w:gridCol w:w="636"/>
        <w:gridCol w:w="452"/>
        <w:gridCol w:w="598"/>
        <w:gridCol w:w="100"/>
        <w:gridCol w:w="844"/>
        <w:gridCol w:w="252"/>
        <w:gridCol w:w="145"/>
        <w:gridCol w:w="533"/>
        <w:gridCol w:w="440"/>
        <w:gridCol w:w="365"/>
        <w:gridCol w:w="125"/>
        <w:gridCol w:w="425"/>
        <w:gridCol w:w="138"/>
        <w:gridCol w:w="855"/>
        <w:gridCol w:w="110"/>
        <w:gridCol w:w="443"/>
        <w:gridCol w:w="682"/>
        <w:gridCol w:w="996"/>
      </w:tblGrid>
      <w:tr w14:paraId="6C9E1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726D7449">
            <w:pPr>
              <w:spacing w:line="240" w:lineRule="auto"/>
              <w:jc w:val="center"/>
              <w:rPr>
                <w:rFonts w:ascii="宋体" w:hAnsi="宋体" w:cs="宋体"/>
                <w:sz w:val="18"/>
                <w:szCs w:val="18"/>
              </w:rPr>
            </w:pPr>
            <w:r>
              <w:rPr>
                <w:rFonts w:hint="eastAsia" w:ascii="宋体" w:hAnsi="宋体" w:cs="宋体"/>
                <w:sz w:val="18"/>
                <w:szCs w:val="18"/>
              </w:rPr>
              <w:t>统一编号</w:t>
            </w:r>
          </w:p>
        </w:tc>
        <w:tc>
          <w:tcPr>
            <w:tcW w:w="3314" w:type="dxa"/>
            <w:gridSpan w:val="8"/>
            <w:vAlign w:val="center"/>
          </w:tcPr>
          <w:p w14:paraId="6C13086E">
            <w:pPr>
              <w:spacing w:line="240" w:lineRule="auto"/>
              <w:rPr>
                <w:rFonts w:ascii="宋体" w:hAnsi="宋体" w:cs="宋体"/>
                <w:sz w:val="18"/>
                <w:szCs w:val="18"/>
              </w:rPr>
            </w:pPr>
          </w:p>
        </w:tc>
        <w:tc>
          <w:tcPr>
            <w:tcW w:w="1338" w:type="dxa"/>
            <w:gridSpan w:val="3"/>
            <w:vAlign w:val="center"/>
          </w:tcPr>
          <w:p w14:paraId="3137642A">
            <w:pPr>
              <w:spacing w:line="240" w:lineRule="auto"/>
              <w:rPr>
                <w:rFonts w:ascii="宋体" w:hAnsi="宋体" w:cs="宋体"/>
                <w:sz w:val="18"/>
                <w:szCs w:val="18"/>
              </w:rPr>
            </w:pPr>
            <w:r>
              <w:rPr>
                <w:rFonts w:hint="eastAsia" w:ascii="宋体" w:hAnsi="宋体" w:cs="宋体"/>
                <w:sz w:val="18"/>
                <w:szCs w:val="18"/>
              </w:rPr>
              <w:t>野外编号</w:t>
            </w:r>
          </w:p>
        </w:tc>
        <w:tc>
          <w:tcPr>
            <w:tcW w:w="3774" w:type="dxa"/>
            <w:gridSpan w:val="8"/>
            <w:vAlign w:val="center"/>
          </w:tcPr>
          <w:p w14:paraId="350A7101">
            <w:pPr>
              <w:spacing w:line="240" w:lineRule="auto"/>
              <w:rPr>
                <w:rFonts w:ascii="宋体" w:hAnsi="宋体" w:cs="宋体"/>
                <w:sz w:val="18"/>
                <w:szCs w:val="18"/>
              </w:rPr>
            </w:pPr>
          </w:p>
        </w:tc>
      </w:tr>
      <w:tr w14:paraId="60623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07676A51">
            <w:pPr>
              <w:spacing w:line="240" w:lineRule="auto"/>
              <w:jc w:val="center"/>
              <w:rPr>
                <w:rFonts w:ascii="宋体" w:hAnsi="宋体" w:cs="宋体"/>
                <w:sz w:val="18"/>
                <w:szCs w:val="18"/>
              </w:rPr>
            </w:pPr>
            <w:r>
              <w:rPr>
                <w:rFonts w:hint="eastAsia" w:ascii="宋体" w:hAnsi="宋体" w:cs="宋体"/>
                <w:sz w:val="18"/>
                <w:szCs w:val="18"/>
              </w:rPr>
              <w:t>塌陷名称</w:t>
            </w:r>
          </w:p>
        </w:tc>
        <w:tc>
          <w:tcPr>
            <w:tcW w:w="8426" w:type="dxa"/>
            <w:gridSpan w:val="19"/>
            <w:vAlign w:val="center"/>
          </w:tcPr>
          <w:p w14:paraId="25664B44">
            <w:pPr>
              <w:spacing w:line="240" w:lineRule="auto"/>
              <w:rPr>
                <w:rFonts w:ascii="宋体" w:hAnsi="宋体" w:cs="宋体"/>
                <w:sz w:val="18"/>
                <w:szCs w:val="18"/>
              </w:rPr>
            </w:pPr>
          </w:p>
        </w:tc>
      </w:tr>
      <w:tr w14:paraId="58AEB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Align w:val="center"/>
          </w:tcPr>
          <w:p w14:paraId="341C9D25">
            <w:pPr>
              <w:spacing w:line="240" w:lineRule="auto"/>
              <w:jc w:val="center"/>
              <w:rPr>
                <w:rFonts w:ascii="宋体" w:hAnsi="宋体" w:cs="宋体"/>
                <w:sz w:val="18"/>
                <w:szCs w:val="18"/>
              </w:rPr>
            </w:pPr>
            <w:r>
              <w:rPr>
                <w:rFonts w:hint="eastAsia" w:ascii="宋体" w:hAnsi="宋体" w:cs="宋体"/>
                <w:sz w:val="18"/>
                <w:szCs w:val="18"/>
              </w:rPr>
              <w:t>地理位置</w:t>
            </w:r>
          </w:p>
        </w:tc>
        <w:tc>
          <w:tcPr>
            <w:tcW w:w="8426" w:type="dxa"/>
            <w:gridSpan w:val="19"/>
            <w:vAlign w:val="center"/>
          </w:tcPr>
          <w:p w14:paraId="48C56B35">
            <w:pPr>
              <w:spacing w:line="240" w:lineRule="auto"/>
              <w:jc w:val="right"/>
              <w:rPr>
                <w:rFonts w:ascii="宋体" w:hAnsi="宋体" w:cs="宋体"/>
                <w:sz w:val="18"/>
                <w:szCs w:val="18"/>
              </w:rPr>
            </w:pPr>
            <w:r>
              <w:rPr>
                <w:rFonts w:ascii="Times New Roman" w:hAnsi="Times New Roman"/>
                <w:sz w:val="18"/>
                <w:szCs w:val="18"/>
              </w:rPr>
              <w:t xml:space="preserve">省      </w:t>
            </w:r>
            <w:r>
              <w:rPr>
                <w:rFonts w:hint="eastAsia" w:ascii="Times New Roman" w:hAnsi="Times New Roman"/>
                <w:sz w:val="18"/>
                <w:szCs w:val="18"/>
              </w:rPr>
              <w:t xml:space="preserve"> </w:t>
            </w:r>
            <w:r>
              <w:rPr>
                <w:rFonts w:ascii="Times New Roman" w:hAnsi="Times New Roman"/>
                <w:sz w:val="18"/>
                <w:szCs w:val="18"/>
              </w:rPr>
              <w:t xml:space="preserve">   市         县（市、区）          乡          村             组</w:t>
            </w:r>
          </w:p>
        </w:tc>
      </w:tr>
      <w:tr w14:paraId="65A7B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Merge w:val="restart"/>
            <w:vAlign w:val="center"/>
          </w:tcPr>
          <w:p w14:paraId="41B455E3">
            <w:pPr>
              <w:spacing w:line="240" w:lineRule="auto"/>
              <w:jc w:val="center"/>
              <w:rPr>
                <w:rFonts w:ascii="宋体" w:hAnsi="宋体" w:cs="宋体"/>
                <w:sz w:val="18"/>
                <w:szCs w:val="18"/>
              </w:rPr>
            </w:pPr>
            <w:r>
              <w:rPr>
                <w:rFonts w:hint="eastAsia" w:ascii="宋体" w:hAnsi="宋体" w:cs="宋体"/>
                <w:sz w:val="18"/>
                <w:szCs w:val="18"/>
              </w:rPr>
              <w:t>坐标</w:t>
            </w:r>
          </w:p>
        </w:tc>
        <w:tc>
          <w:tcPr>
            <w:tcW w:w="1973" w:type="dxa"/>
            <w:gridSpan w:val="4"/>
            <w:vAlign w:val="center"/>
          </w:tcPr>
          <w:p w14:paraId="3E4FCAB2">
            <w:pPr>
              <w:spacing w:line="240" w:lineRule="auto"/>
              <w:jc w:val="center"/>
              <w:rPr>
                <w:rFonts w:ascii="宋体" w:hAnsi="宋体" w:cs="宋体"/>
                <w:sz w:val="18"/>
                <w:szCs w:val="18"/>
              </w:rPr>
            </w:pPr>
            <w:r>
              <w:rPr>
                <w:rFonts w:hint="eastAsia" w:ascii="宋体" w:hAnsi="宋体" w:cs="宋体"/>
                <w:sz w:val="18"/>
                <w:szCs w:val="18"/>
              </w:rPr>
              <w:t>经度</w:t>
            </w:r>
          </w:p>
        </w:tc>
        <w:tc>
          <w:tcPr>
            <w:tcW w:w="2804" w:type="dxa"/>
            <w:gridSpan w:val="8"/>
            <w:vAlign w:val="center"/>
          </w:tcPr>
          <w:p w14:paraId="161FD15A">
            <w:pPr>
              <w:spacing w:line="240" w:lineRule="auto"/>
              <w:jc w:val="center"/>
              <w:rPr>
                <w:rFonts w:ascii="宋体" w:hAnsi="宋体" w:cs="宋体"/>
                <w:sz w:val="18"/>
                <w:szCs w:val="18"/>
              </w:rPr>
            </w:pPr>
            <w:r>
              <w:rPr>
                <w:rFonts w:hint="eastAsia" w:ascii="宋体" w:hAnsi="宋体" w:cs="宋体"/>
                <w:sz w:val="18"/>
                <w:szCs w:val="18"/>
              </w:rPr>
              <w:t>°        ′       ″</w:t>
            </w:r>
          </w:p>
        </w:tc>
        <w:tc>
          <w:tcPr>
            <w:tcW w:w="1418" w:type="dxa"/>
            <w:gridSpan w:val="3"/>
            <w:vAlign w:val="center"/>
          </w:tcPr>
          <w:p w14:paraId="5DAF367F">
            <w:pPr>
              <w:spacing w:line="240" w:lineRule="auto"/>
              <w:jc w:val="center"/>
              <w:rPr>
                <w:rFonts w:ascii="宋体" w:hAnsi="宋体" w:cs="宋体"/>
                <w:sz w:val="18"/>
                <w:szCs w:val="18"/>
              </w:rPr>
            </w:pPr>
            <w:r>
              <w:rPr>
                <w:rFonts w:hint="eastAsia" w:ascii="宋体" w:hAnsi="宋体" w:cs="宋体"/>
                <w:sz w:val="18"/>
                <w:szCs w:val="18"/>
              </w:rPr>
              <w:t>纬度</w:t>
            </w:r>
          </w:p>
        </w:tc>
        <w:tc>
          <w:tcPr>
            <w:tcW w:w="2231" w:type="dxa"/>
            <w:gridSpan w:val="4"/>
            <w:vAlign w:val="center"/>
          </w:tcPr>
          <w:p w14:paraId="25CA86F2">
            <w:pPr>
              <w:spacing w:line="240" w:lineRule="auto"/>
              <w:jc w:val="center"/>
              <w:rPr>
                <w:rFonts w:ascii="宋体" w:hAnsi="宋体" w:cs="宋体"/>
                <w:sz w:val="18"/>
                <w:szCs w:val="18"/>
              </w:rPr>
            </w:pPr>
            <w:r>
              <w:rPr>
                <w:rFonts w:hint="eastAsia" w:ascii="宋体" w:hAnsi="宋体" w:cs="宋体"/>
                <w:sz w:val="18"/>
                <w:szCs w:val="18"/>
              </w:rPr>
              <w:t>°        ′       ″</w:t>
            </w:r>
          </w:p>
        </w:tc>
      </w:tr>
      <w:tr w14:paraId="4008F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1141" w:type="dxa"/>
            <w:vMerge w:val="continue"/>
            <w:vAlign w:val="center"/>
          </w:tcPr>
          <w:p w14:paraId="6F6911FE">
            <w:pPr>
              <w:spacing w:line="240" w:lineRule="auto"/>
              <w:jc w:val="center"/>
              <w:rPr>
                <w:rFonts w:ascii="宋体" w:hAnsi="宋体" w:cs="宋体"/>
                <w:sz w:val="18"/>
                <w:szCs w:val="18"/>
              </w:rPr>
            </w:pPr>
          </w:p>
        </w:tc>
        <w:tc>
          <w:tcPr>
            <w:tcW w:w="1973" w:type="dxa"/>
            <w:gridSpan w:val="4"/>
            <w:vAlign w:val="center"/>
          </w:tcPr>
          <w:p w14:paraId="2CE42E57">
            <w:pPr>
              <w:spacing w:line="240" w:lineRule="auto"/>
              <w:jc w:val="center"/>
              <w:rPr>
                <w:rFonts w:ascii="宋体" w:hAnsi="宋体" w:cs="宋体"/>
                <w:sz w:val="18"/>
                <w:szCs w:val="18"/>
              </w:rPr>
            </w:pPr>
            <w:r>
              <w:rPr>
                <w:rFonts w:hint="eastAsia" w:ascii="宋体" w:hAnsi="宋体" w:cs="宋体"/>
                <w:sz w:val="18"/>
                <w:szCs w:val="18"/>
              </w:rPr>
              <w:t>X</w:t>
            </w:r>
          </w:p>
        </w:tc>
        <w:tc>
          <w:tcPr>
            <w:tcW w:w="2804" w:type="dxa"/>
            <w:gridSpan w:val="8"/>
            <w:vAlign w:val="center"/>
          </w:tcPr>
          <w:p w14:paraId="48D29D31">
            <w:pPr>
              <w:spacing w:line="240" w:lineRule="auto"/>
              <w:jc w:val="center"/>
              <w:rPr>
                <w:rFonts w:ascii="宋体" w:hAnsi="宋体" w:cs="宋体"/>
                <w:sz w:val="18"/>
                <w:szCs w:val="18"/>
              </w:rPr>
            </w:pPr>
          </w:p>
        </w:tc>
        <w:tc>
          <w:tcPr>
            <w:tcW w:w="1418" w:type="dxa"/>
            <w:gridSpan w:val="3"/>
            <w:vAlign w:val="center"/>
          </w:tcPr>
          <w:p w14:paraId="52E5359E">
            <w:pPr>
              <w:spacing w:line="240" w:lineRule="auto"/>
              <w:jc w:val="center"/>
              <w:rPr>
                <w:rFonts w:ascii="宋体" w:hAnsi="宋体" w:cs="宋体"/>
                <w:sz w:val="18"/>
                <w:szCs w:val="18"/>
              </w:rPr>
            </w:pPr>
            <w:r>
              <w:rPr>
                <w:rFonts w:hint="eastAsia" w:ascii="宋体" w:hAnsi="宋体" w:cs="宋体"/>
                <w:sz w:val="18"/>
                <w:szCs w:val="18"/>
              </w:rPr>
              <w:t>Y</w:t>
            </w:r>
          </w:p>
        </w:tc>
        <w:tc>
          <w:tcPr>
            <w:tcW w:w="2231" w:type="dxa"/>
            <w:gridSpan w:val="4"/>
            <w:vAlign w:val="center"/>
          </w:tcPr>
          <w:p w14:paraId="3E46DFEA">
            <w:pPr>
              <w:spacing w:line="240" w:lineRule="auto"/>
              <w:jc w:val="center"/>
              <w:rPr>
                <w:rFonts w:ascii="宋体" w:hAnsi="宋体" w:cs="宋体"/>
                <w:sz w:val="18"/>
                <w:szCs w:val="18"/>
              </w:rPr>
            </w:pPr>
          </w:p>
        </w:tc>
      </w:tr>
      <w:tr w14:paraId="60DA1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57" w:hRule="atLeast"/>
          <w:jc w:val="center"/>
        </w:trPr>
        <w:tc>
          <w:tcPr>
            <w:tcW w:w="1141" w:type="dxa"/>
            <w:vAlign w:val="center"/>
          </w:tcPr>
          <w:p w14:paraId="32AA8338">
            <w:pPr>
              <w:spacing w:line="240" w:lineRule="auto"/>
              <w:rPr>
                <w:rFonts w:ascii="宋体" w:hAnsi="宋体" w:cs="宋体"/>
                <w:sz w:val="18"/>
                <w:szCs w:val="18"/>
              </w:rPr>
            </w:pPr>
            <w:r>
              <w:rPr>
                <w:rFonts w:hint="eastAsia" w:ascii="宋体" w:hAnsi="宋体" w:cs="宋体"/>
                <w:sz w:val="18"/>
                <w:szCs w:val="18"/>
              </w:rPr>
              <w:t>塌陷成因类型</w:t>
            </w:r>
          </w:p>
        </w:tc>
        <w:tc>
          <w:tcPr>
            <w:tcW w:w="1973" w:type="dxa"/>
            <w:gridSpan w:val="4"/>
            <w:vAlign w:val="center"/>
          </w:tcPr>
          <w:p w14:paraId="5278CCDD">
            <w:pPr>
              <w:spacing w:line="240" w:lineRule="auto"/>
              <w:rPr>
                <w:rFonts w:ascii="宋体" w:hAnsi="宋体" w:cs="宋体"/>
                <w:sz w:val="18"/>
                <w:szCs w:val="18"/>
              </w:rPr>
            </w:pPr>
            <w:r>
              <w:rPr>
                <w:rFonts w:hint="eastAsia" w:ascii="宋体" w:hAnsi="宋体" w:cs="宋体"/>
                <w:sz w:val="18"/>
                <w:szCs w:val="18"/>
              </w:rPr>
              <w:t xml:space="preserve">□岩溶型塌陷 </w:t>
            </w:r>
          </w:p>
          <w:p w14:paraId="7F582C19">
            <w:pPr>
              <w:spacing w:line="240" w:lineRule="auto"/>
              <w:rPr>
                <w:rFonts w:ascii="宋体" w:hAnsi="宋体" w:cs="宋体"/>
                <w:sz w:val="18"/>
                <w:szCs w:val="18"/>
              </w:rPr>
            </w:pPr>
            <w:r>
              <w:rPr>
                <w:rFonts w:hint="eastAsia" w:ascii="宋体" w:hAnsi="宋体" w:cs="宋体"/>
                <w:sz w:val="18"/>
                <w:szCs w:val="18"/>
              </w:rPr>
              <w:t xml:space="preserve">□土洞型塌陷 </w:t>
            </w:r>
          </w:p>
          <w:p w14:paraId="74A0B7E9">
            <w:pPr>
              <w:spacing w:line="240" w:lineRule="auto"/>
              <w:rPr>
                <w:rFonts w:ascii="宋体" w:hAnsi="宋体" w:cs="宋体"/>
                <w:sz w:val="18"/>
                <w:szCs w:val="18"/>
              </w:rPr>
            </w:pPr>
            <w:r>
              <w:rPr>
                <w:rFonts w:hint="eastAsia" w:ascii="宋体" w:hAnsi="宋体" w:cs="宋体"/>
                <w:sz w:val="18"/>
                <w:szCs w:val="18"/>
              </w:rPr>
              <w:t>□冒顶型塌陷</w:t>
            </w:r>
          </w:p>
          <w:p w14:paraId="54BC5729">
            <w:pPr>
              <w:spacing w:line="240" w:lineRule="auto"/>
              <w:rPr>
                <w:rFonts w:ascii="宋体" w:hAnsi="宋体" w:cs="宋体"/>
                <w:sz w:val="18"/>
                <w:szCs w:val="18"/>
              </w:rPr>
            </w:pPr>
            <w:r>
              <w:rPr>
                <w:rFonts w:hint="eastAsia" w:ascii="宋体" w:hAnsi="宋体" w:cs="宋体"/>
                <w:sz w:val="18"/>
                <w:szCs w:val="18"/>
              </w:rPr>
              <w:t>□其他</w:t>
            </w:r>
          </w:p>
        </w:tc>
        <w:tc>
          <w:tcPr>
            <w:tcW w:w="944" w:type="dxa"/>
            <w:gridSpan w:val="2"/>
            <w:vAlign w:val="center"/>
          </w:tcPr>
          <w:p w14:paraId="5868A0ED">
            <w:pPr>
              <w:spacing w:line="240" w:lineRule="auto"/>
              <w:rPr>
                <w:rFonts w:ascii="宋体" w:hAnsi="宋体" w:cs="宋体"/>
                <w:sz w:val="18"/>
                <w:szCs w:val="18"/>
              </w:rPr>
            </w:pPr>
            <w:r>
              <w:rPr>
                <w:rFonts w:hint="eastAsia" w:ascii="宋体" w:hAnsi="宋体" w:cs="宋体"/>
                <w:sz w:val="18"/>
                <w:szCs w:val="18"/>
              </w:rPr>
              <w:t>岩土体类型</w:t>
            </w:r>
          </w:p>
        </w:tc>
        <w:tc>
          <w:tcPr>
            <w:tcW w:w="1860" w:type="dxa"/>
            <w:gridSpan w:val="6"/>
            <w:vAlign w:val="center"/>
          </w:tcPr>
          <w:p w14:paraId="40F2868E">
            <w:pPr>
              <w:spacing w:line="240" w:lineRule="auto"/>
              <w:rPr>
                <w:rFonts w:ascii="宋体" w:hAnsi="宋体" w:cs="宋体"/>
                <w:sz w:val="18"/>
                <w:szCs w:val="18"/>
              </w:rPr>
            </w:pPr>
            <w:r>
              <w:rPr>
                <w:rFonts w:hint="eastAsia" w:ascii="宋体" w:hAnsi="宋体" w:cs="宋体"/>
                <w:sz w:val="18"/>
                <w:szCs w:val="18"/>
              </w:rPr>
              <w:t>□岩石</w:t>
            </w:r>
          </w:p>
          <w:p w14:paraId="3320C2FD">
            <w:pPr>
              <w:spacing w:line="240" w:lineRule="auto"/>
              <w:rPr>
                <w:rFonts w:ascii="宋体" w:hAnsi="宋体" w:cs="宋体"/>
                <w:sz w:val="18"/>
                <w:szCs w:val="18"/>
              </w:rPr>
            </w:pPr>
            <w:r>
              <w:rPr>
                <w:rFonts w:hint="eastAsia" w:ascii="宋体" w:hAnsi="宋体" w:cs="宋体"/>
                <w:sz w:val="18"/>
                <w:szCs w:val="18"/>
              </w:rPr>
              <w:t>□土体</w:t>
            </w:r>
          </w:p>
          <w:p w14:paraId="0AE52FBE">
            <w:pPr>
              <w:spacing w:line="240" w:lineRule="auto"/>
              <w:rPr>
                <w:rFonts w:ascii="宋体" w:hAnsi="宋体" w:cs="宋体"/>
                <w:sz w:val="18"/>
                <w:szCs w:val="18"/>
              </w:rPr>
            </w:pPr>
            <w:r>
              <w:rPr>
                <w:rFonts w:hint="eastAsia" w:ascii="宋体" w:hAnsi="宋体" w:cs="宋体"/>
                <w:sz w:val="18"/>
                <w:szCs w:val="18"/>
              </w:rPr>
              <w:t>□碎屑</w:t>
            </w:r>
          </w:p>
          <w:p w14:paraId="1565389C">
            <w:pPr>
              <w:spacing w:line="240" w:lineRule="auto"/>
              <w:rPr>
                <w:rFonts w:ascii="宋体" w:hAnsi="宋体" w:cs="宋体"/>
                <w:sz w:val="18"/>
                <w:szCs w:val="18"/>
              </w:rPr>
            </w:pPr>
            <w:r>
              <w:rPr>
                <w:rFonts w:hint="eastAsia" w:ascii="宋体" w:hAnsi="宋体" w:cs="宋体"/>
                <w:sz w:val="18"/>
                <w:szCs w:val="18"/>
              </w:rPr>
              <w:t>□复合</w:t>
            </w:r>
          </w:p>
        </w:tc>
        <w:tc>
          <w:tcPr>
            <w:tcW w:w="425" w:type="dxa"/>
            <w:vAlign w:val="center"/>
          </w:tcPr>
          <w:p w14:paraId="67396F11">
            <w:pPr>
              <w:spacing w:line="240" w:lineRule="auto"/>
              <w:rPr>
                <w:rFonts w:ascii="宋体" w:hAnsi="宋体" w:cs="宋体"/>
                <w:sz w:val="18"/>
                <w:szCs w:val="18"/>
              </w:rPr>
            </w:pPr>
            <w:r>
              <w:rPr>
                <w:rFonts w:hint="eastAsia" w:ascii="宋体" w:hAnsi="宋体" w:cs="宋体"/>
                <w:sz w:val="18"/>
                <w:szCs w:val="18"/>
              </w:rPr>
              <w:t>发展变化</w:t>
            </w:r>
          </w:p>
        </w:tc>
        <w:tc>
          <w:tcPr>
            <w:tcW w:w="993" w:type="dxa"/>
            <w:gridSpan w:val="2"/>
            <w:vAlign w:val="center"/>
          </w:tcPr>
          <w:p w14:paraId="2166DA6F">
            <w:pPr>
              <w:spacing w:line="240" w:lineRule="auto"/>
              <w:rPr>
                <w:rFonts w:ascii="宋体" w:hAnsi="宋体" w:cs="宋体"/>
                <w:sz w:val="18"/>
                <w:szCs w:val="18"/>
              </w:rPr>
            </w:pPr>
            <w:r>
              <w:rPr>
                <w:rFonts w:hint="eastAsia" w:ascii="宋体" w:hAnsi="宋体" w:cs="宋体"/>
                <w:sz w:val="18"/>
                <w:szCs w:val="18"/>
              </w:rPr>
              <w:t xml:space="preserve">□趋增强 </w:t>
            </w:r>
          </w:p>
          <w:p w14:paraId="01D6A673">
            <w:pPr>
              <w:spacing w:line="240" w:lineRule="auto"/>
              <w:rPr>
                <w:rFonts w:ascii="宋体" w:hAnsi="宋体" w:cs="宋体"/>
                <w:sz w:val="18"/>
                <w:szCs w:val="18"/>
              </w:rPr>
            </w:pPr>
            <w:r>
              <w:rPr>
                <w:rFonts w:hint="eastAsia" w:ascii="宋体" w:hAnsi="宋体" w:cs="宋体"/>
                <w:sz w:val="18"/>
                <w:szCs w:val="18"/>
              </w:rPr>
              <w:t>□趋减弱</w:t>
            </w:r>
          </w:p>
          <w:p w14:paraId="22BC4041">
            <w:pPr>
              <w:spacing w:line="240" w:lineRule="auto"/>
              <w:rPr>
                <w:rFonts w:ascii="宋体" w:hAnsi="宋体" w:cs="宋体"/>
                <w:sz w:val="18"/>
                <w:szCs w:val="18"/>
              </w:rPr>
            </w:pPr>
            <w:r>
              <w:rPr>
                <w:rFonts w:hint="eastAsia" w:ascii="宋体" w:hAnsi="宋体" w:cs="宋体"/>
                <w:sz w:val="18"/>
                <w:szCs w:val="18"/>
              </w:rPr>
              <w:t>□停止</w:t>
            </w:r>
          </w:p>
          <w:p w14:paraId="2AF9B31E">
            <w:pPr>
              <w:spacing w:line="240" w:lineRule="auto"/>
              <w:rPr>
                <w:rFonts w:ascii="宋体" w:hAnsi="宋体" w:cs="宋体"/>
                <w:sz w:val="18"/>
                <w:szCs w:val="18"/>
              </w:rPr>
            </w:pPr>
            <w:r>
              <w:rPr>
                <w:rFonts w:hint="eastAsia" w:ascii="宋体" w:hAnsi="宋体" w:cs="宋体"/>
                <w:sz w:val="18"/>
                <w:szCs w:val="18"/>
              </w:rPr>
              <w:t>□其他</w:t>
            </w:r>
          </w:p>
        </w:tc>
        <w:tc>
          <w:tcPr>
            <w:tcW w:w="1235" w:type="dxa"/>
            <w:gridSpan w:val="3"/>
            <w:vAlign w:val="center"/>
          </w:tcPr>
          <w:p w14:paraId="4859448A">
            <w:pPr>
              <w:spacing w:line="240" w:lineRule="auto"/>
              <w:rPr>
                <w:rFonts w:ascii="宋体" w:hAnsi="宋体" w:cs="宋体"/>
                <w:sz w:val="18"/>
                <w:szCs w:val="18"/>
              </w:rPr>
            </w:pPr>
            <w:r>
              <w:rPr>
                <w:rFonts w:hint="eastAsia" w:ascii="宋体" w:hAnsi="宋体" w:cs="宋体"/>
                <w:sz w:val="18"/>
                <w:szCs w:val="18"/>
              </w:rPr>
              <w:t>变形面积</w:t>
            </w:r>
          </w:p>
        </w:tc>
        <w:tc>
          <w:tcPr>
            <w:tcW w:w="996" w:type="dxa"/>
            <w:vAlign w:val="center"/>
          </w:tcPr>
          <w:p w14:paraId="23A73648">
            <w:pPr>
              <w:spacing w:line="240" w:lineRule="auto"/>
              <w:jc w:val="right"/>
              <w:rPr>
                <w:rFonts w:ascii="宋体" w:hAnsi="宋体" w:cs="宋体"/>
                <w:sz w:val="18"/>
                <w:szCs w:val="18"/>
              </w:rPr>
            </w:pPr>
            <w:r>
              <w:rPr>
                <w:rFonts w:hint="eastAsia" w:ascii="宋体" w:hAnsi="宋体" w:cs="宋体"/>
                <w:sz w:val="18"/>
                <w:szCs w:val="18"/>
              </w:rPr>
              <w:t>km</w:t>
            </w:r>
            <w:r>
              <w:rPr>
                <w:rFonts w:hint="eastAsia" w:ascii="宋体" w:hAnsi="宋体" w:cs="宋体"/>
                <w:sz w:val="18"/>
                <w:szCs w:val="18"/>
                <w:vertAlign w:val="superscript"/>
              </w:rPr>
              <w:t>2</w:t>
            </w:r>
          </w:p>
        </w:tc>
      </w:tr>
      <w:tr w14:paraId="5BCF4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5" w:hRule="atLeast"/>
          <w:jc w:val="center"/>
        </w:trPr>
        <w:tc>
          <w:tcPr>
            <w:tcW w:w="1141" w:type="dxa"/>
            <w:vAlign w:val="center"/>
          </w:tcPr>
          <w:p w14:paraId="2A4908B0">
            <w:pPr>
              <w:spacing w:line="240" w:lineRule="auto"/>
              <w:rPr>
                <w:rFonts w:ascii="宋体" w:hAnsi="宋体" w:cs="宋体"/>
                <w:sz w:val="18"/>
                <w:szCs w:val="18"/>
              </w:rPr>
            </w:pPr>
            <w:r>
              <w:rPr>
                <w:rFonts w:hint="eastAsia" w:ascii="宋体" w:hAnsi="宋体" w:cs="宋体"/>
                <w:sz w:val="18"/>
                <w:szCs w:val="18"/>
              </w:rPr>
              <w:t>塌陷坑扩展方式</w:t>
            </w:r>
          </w:p>
        </w:tc>
        <w:tc>
          <w:tcPr>
            <w:tcW w:w="1973" w:type="dxa"/>
            <w:gridSpan w:val="4"/>
            <w:vAlign w:val="center"/>
          </w:tcPr>
          <w:p w14:paraId="4EDF200D">
            <w:pPr>
              <w:spacing w:line="240" w:lineRule="auto"/>
              <w:rPr>
                <w:rFonts w:ascii="宋体" w:hAnsi="宋体" w:cs="宋体"/>
                <w:sz w:val="18"/>
                <w:szCs w:val="18"/>
              </w:rPr>
            </w:pPr>
            <w:r>
              <w:rPr>
                <w:rFonts w:hint="eastAsia" w:ascii="宋体" w:hAnsi="宋体" w:cs="宋体"/>
                <w:sz w:val="18"/>
                <w:szCs w:val="18"/>
              </w:rPr>
              <w:t xml:space="preserve">□定向扩展     </w:t>
            </w:r>
          </w:p>
          <w:p w14:paraId="60DD83F0">
            <w:pPr>
              <w:spacing w:line="240" w:lineRule="auto"/>
              <w:rPr>
                <w:rFonts w:ascii="宋体" w:hAnsi="宋体" w:cs="宋体"/>
                <w:sz w:val="18"/>
                <w:szCs w:val="18"/>
              </w:rPr>
            </w:pPr>
            <w:r>
              <w:rPr>
                <w:rFonts w:hint="eastAsia" w:ascii="宋体" w:hAnsi="宋体" w:cs="宋体"/>
                <w:sz w:val="18"/>
                <w:szCs w:val="18"/>
              </w:rPr>
              <w:t xml:space="preserve">□周缘扩展 </w:t>
            </w:r>
          </w:p>
          <w:p w14:paraId="2D1B79A3">
            <w:pPr>
              <w:spacing w:line="240" w:lineRule="auto"/>
              <w:rPr>
                <w:rFonts w:ascii="宋体" w:hAnsi="宋体" w:cs="宋体"/>
                <w:sz w:val="18"/>
                <w:szCs w:val="18"/>
              </w:rPr>
            </w:pPr>
            <w:r>
              <w:rPr>
                <w:rFonts w:hint="eastAsia" w:ascii="宋体" w:hAnsi="宋体" w:cs="宋体"/>
                <w:sz w:val="18"/>
                <w:szCs w:val="18"/>
              </w:rPr>
              <w:t xml:space="preserve">□深度加大 </w:t>
            </w:r>
          </w:p>
          <w:p w14:paraId="121627D4">
            <w:pPr>
              <w:spacing w:line="240" w:lineRule="auto"/>
              <w:rPr>
                <w:rFonts w:ascii="宋体" w:hAnsi="宋体" w:cs="宋体"/>
                <w:sz w:val="18"/>
                <w:szCs w:val="18"/>
              </w:rPr>
            </w:pPr>
            <w:r>
              <w:rPr>
                <w:rFonts w:hint="eastAsia" w:ascii="宋体" w:hAnsi="宋体" w:cs="宋体"/>
                <w:sz w:val="18"/>
                <w:szCs w:val="18"/>
              </w:rPr>
              <w:t xml:space="preserve">□无扩展空间 </w:t>
            </w:r>
          </w:p>
          <w:p w14:paraId="770299AC">
            <w:pPr>
              <w:spacing w:line="240" w:lineRule="auto"/>
              <w:rPr>
                <w:rFonts w:ascii="宋体" w:hAnsi="宋体" w:cs="宋体"/>
                <w:sz w:val="18"/>
                <w:szCs w:val="18"/>
              </w:rPr>
            </w:pPr>
            <w:r>
              <w:rPr>
                <w:rFonts w:hint="eastAsia" w:ascii="宋体" w:hAnsi="宋体" w:cs="宋体"/>
                <w:sz w:val="18"/>
                <w:szCs w:val="18"/>
              </w:rPr>
              <w:t>□其他</w:t>
            </w:r>
          </w:p>
        </w:tc>
        <w:tc>
          <w:tcPr>
            <w:tcW w:w="944" w:type="dxa"/>
            <w:gridSpan w:val="2"/>
            <w:vAlign w:val="center"/>
          </w:tcPr>
          <w:p w14:paraId="39CE5B63">
            <w:pPr>
              <w:spacing w:line="240" w:lineRule="auto"/>
              <w:rPr>
                <w:rFonts w:ascii="宋体" w:hAnsi="宋体" w:cs="宋体"/>
                <w:sz w:val="18"/>
                <w:szCs w:val="18"/>
              </w:rPr>
            </w:pPr>
            <w:r>
              <w:rPr>
                <w:rFonts w:hint="eastAsia" w:ascii="宋体" w:hAnsi="宋体" w:cs="宋体"/>
                <w:sz w:val="18"/>
                <w:szCs w:val="18"/>
              </w:rPr>
              <w:t>塌陷时间</w:t>
            </w:r>
          </w:p>
        </w:tc>
        <w:tc>
          <w:tcPr>
            <w:tcW w:w="3278" w:type="dxa"/>
            <w:gridSpan w:val="9"/>
            <w:vAlign w:val="center"/>
          </w:tcPr>
          <w:p w14:paraId="3C94C134">
            <w:pPr>
              <w:spacing w:line="240" w:lineRule="auto"/>
              <w:ind w:firstLine="667" w:firstLineChars="371"/>
              <w:rPr>
                <w:rFonts w:ascii="宋体" w:hAnsi="宋体" w:cs="宋体"/>
                <w:sz w:val="18"/>
                <w:szCs w:val="18"/>
              </w:rPr>
            </w:pPr>
            <w:r>
              <w:rPr>
                <w:rFonts w:hint="eastAsia" w:ascii="宋体" w:hAnsi="宋体" w:cs="宋体"/>
                <w:sz w:val="18"/>
                <w:szCs w:val="18"/>
              </w:rPr>
              <w:t xml:space="preserve">年   月    日   时   分   </w:t>
            </w:r>
          </w:p>
          <w:p w14:paraId="31C4B25F">
            <w:pPr>
              <w:spacing w:line="240" w:lineRule="auto"/>
              <w:ind w:firstLine="667" w:firstLineChars="371"/>
              <w:rPr>
                <w:rFonts w:ascii="宋体" w:hAnsi="宋体" w:cs="宋体"/>
                <w:sz w:val="18"/>
                <w:szCs w:val="18"/>
              </w:rPr>
            </w:pPr>
            <w:r>
              <w:rPr>
                <w:rFonts w:hint="eastAsia" w:ascii="宋体" w:hAnsi="宋体" w:cs="宋体"/>
                <w:sz w:val="18"/>
                <w:szCs w:val="18"/>
              </w:rPr>
              <w:t>□不详</w:t>
            </w:r>
          </w:p>
        </w:tc>
        <w:tc>
          <w:tcPr>
            <w:tcW w:w="1235" w:type="dxa"/>
            <w:gridSpan w:val="3"/>
            <w:vAlign w:val="center"/>
          </w:tcPr>
          <w:p w14:paraId="61FBAF1E">
            <w:pPr>
              <w:spacing w:line="240" w:lineRule="auto"/>
              <w:rPr>
                <w:rFonts w:ascii="宋体" w:hAnsi="宋体" w:cs="宋体"/>
                <w:sz w:val="18"/>
                <w:szCs w:val="18"/>
              </w:rPr>
            </w:pPr>
            <w:r>
              <w:rPr>
                <w:rFonts w:hint="eastAsia" w:ascii="宋体" w:hAnsi="宋体" w:cs="宋体"/>
                <w:sz w:val="18"/>
                <w:szCs w:val="18"/>
              </w:rPr>
              <w:t>规模等级</w:t>
            </w:r>
          </w:p>
        </w:tc>
        <w:tc>
          <w:tcPr>
            <w:tcW w:w="996" w:type="dxa"/>
            <w:vAlign w:val="center"/>
          </w:tcPr>
          <w:p w14:paraId="0F79EC1E">
            <w:pPr>
              <w:spacing w:line="240" w:lineRule="auto"/>
              <w:rPr>
                <w:rFonts w:ascii="宋体" w:hAnsi="宋体" w:cs="宋体"/>
                <w:sz w:val="18"/>
                <w:szCs w:val="18"/>
              </w:rPr>
            </w:pPr>
            <w:r>
              <w:rPr>
                <w:rFonts w:hint="eastAsia" w:ascii="宋体" w:hAnsi="宋体" w:cs="宋体"/>
                <w:sz w:val="18"/>
                <w:szCs w:val="18"/>
              </w:rPr>
              <w:t xml:space="preserve">□巨型 </w:t>
            </w:r>
          </w:p>
          <w:p w14:paraId="5363E2AF">
            <w:pPr>
              <w:spacing w:line="240" w:lineRule="auto"/>
              <w:rPr>
                <w:rFonts w:ascii="宋体" w:hAnsi="宋体" w:cs="宋体"/>
                <w:sz w:val="18"/>
                <w:szCs w:val="18"/>
              </w:rPr>
            </w:pPr>
            <w:r>
              <w:rPr>
                <w:rFonts w:hint="eastAsia" w:ascii="宋体" w:hAnsi="宋体" w:cs="宋体"/>
                <w:sz w:val="18"/>
                <w:szCs w:val="18"/>
              </w:rPr>
              <w:t>□特大型</w:t>
            </w:r>
          </w:p>
          <w:p w14:paraId="39FC3EB9">
            <w:pPr>
              <w:spacing w:line="240" w:lineRule="auto"/>
              <w:rPr>
                <w:rFonts w:ascii="宋体" w:hAnsi="宋体" w:cs="宋体"/>
                <w:sz w:val="18"/>
                <w:szCs w:val="18"/>
              </w:rPr>
            </w:pPr>
            <w:r>
              <w:rPr>
                <w:rFonts w:hint="eastAsia" w:ascii="宋体" w:hAnsi="宋体" w:cs="宋体"/>
                <w:sz w:val="18"/>
                <w:szCs w:val="18"/>
              </w:rPr>
              <w:t xml:space="preserve">□大型 </w:t>
            </w:r>
          </w:p>
          <w:p w14:paraId="1CFF0F4F">
            <w:pPr>
              <w:spacing w:line="240" w:lineRule="auto"/>
              <w:rPr>
                <w:rFonts w:ascii="宋体" w:hAnsi="宋体" w:cs="宋体"/>
                <w:sz w:val="18"/>
                <w:szCs w:val="18"/>
              </w:rPr>
            </w:pPr>
            <w:r>
              <w:rPr>
                <w:rFonts w:hint="eastAsia" w:ascii="宋体" w:hAnsi="宋体" w:cs="宋体"/>
                <w:sz w:val="18"/>
                <w:szCs w:val="18"/>
              </w:rPr>
              <w:t>□中型</w:t>
            </w:r>
          </w:p>
          <w:p w14:paraId="7FFB03D7">
            <w:pPr>
              <w:spacing w:line="240" w:lineRule="auto"/>
              <w:rPr>
                <w:rFonts w:ascii="宋体" w:hAnsi="宋体" w:cs="宋体"/>
                <w:sz w:val="18"/>
                <w:szCs w:val="18"/>
              </w:rPr>
            </w:pPr>
            <w:r>
              <w:rPr>
                <w:rFonts w:hint="eastAsia" w:ascii="宋体" w:hAnsi="宋体" w:cs="宋体"/>
                <w:sz w:val="18"/>
                <w:szCs w:val="18"/>
              </w:rPr>
              <w:t>□小型</w:t>
            </w:r>
          </w:p>
        </w:tc>
      </w:tr>
      <w:tr w14:paraId="1B879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2" w:hRule="atLeast"/>
          <w:jc w:val="center"/>
        </w:trPr>
        <w:tc>
          <w:tcPr>
            <w:tcW w:w="1141" w:type="dxa"/>
            <w:vAlign w:val="center"/>
          </w:tcPr>
          <w:p w14:paraId="3ADD5E8D">
            <w:pPr>
              <w:spacing w:line="240" w:lineRule="auto"/>
              <w:rPr>
                <w:rFonts w:ascii="宋体" w:hAnsi="宋体" w:cs="宋体"/>
                <w:sz w:val="18"/>
                <w:szCs w:val="18"/>
              </w:rPr>
            </w:pPr>
            <w:r>
              <w:rPr>
                <w:rFonts w:hint="eastAsia" w:ascii="宋体" w:hAnsi="宋体" w:cs="宋体"/>
                <w:sz w:val="18"/>
                <w:szCs w:val="18"/>
              </w:rPr>
              <w:t>诱发因素</w:t>
            </w:r>
          </w:p>
        </w:tc>
        <w:tc>
          <w:tcPr>
            <w:tcW w:w="2917" w:type="dxa"/>
            <w:gridSpan w:val="6"/>
            <w:vAlign w:val="center"/>
          </w:tcPr>
          <w:p w14:paraId="59811765">
            <w:pPr>
              <w:spacing w:line="240" w:lineRule="auto"/>
              <w:rPr>
                <w:rFonts w:ascii="宋体" w:hAnsi="宋体" w:cs="宋体"/>
                <w:sz w:val="18"/>
                <w:szCs w:val="18"/>
              </w:rPr>
            </w:pPr>
            <w:r>
              <w:rPr>
                <w:rFonts w:hint="eastAsia" w:ascii="宋体" w:hAnsi="宋体" w:cs="宋体"/>
                <w:sz w:val="18"/>
                <w:szCs w:val="18"/>
              </w:rPr>
              <w:t>□重力 □降雨 □地震 □干旱 □振动 □加载 □水事活动 □地下工程施工 □矿产资源开发 □其他</w:t>
            </w:r>
          </w:p>
        </w:tc>
        <w:tc>
          <w:tcPr>
            <w:tcW w:w="1860" w:type="dxa"/>
            <w:gridSpan w:val="6"/>
            <w:vAlign w:val="center"/>
          </w:tcPr>
          <w:p w14:paraId="486B652B">
            <w:pPr>
              <w:spacing w:line="240" w:lineRule="auto"/>
              <w:rPr>
                <w:rFonts w:ascii="宋体" w:hAnsi="宋体" w:cs="宋体"/>
                <w:sz w:val="18"/>
                <w:szCs w:val="18"/>
              </w:rPr>
            </w:pPr>
            <w:r>
              <w:rPr>
                <w:rFonts w:hint="eastAsia" w:ascii="宋体" w:hAnsi="宋体" w:cs="宋体"/>
                <w:sz w:val="18"/>
                <w:szCs w:val="18"/>
              </w:rPr>
              <w:t>最大塌陷坑直径</w:t>
            </w:r>
          </w:p>
        </w:tc>
        <w:tc>
          <w:tcPr>
            <w:tcW w:w="1418" w:type="dxa"/>
            <w:gridSpan w:val="3"/>
            <w:vAlign w:val="center"/>
          </w:tcPr>
          <w:p w14:paraId="5B14F68A">
            <w:pPr>
              <w:spacing w:line="240" w:lineRule="auto"/>
              <w:jc w:val="right"/>
              <w:rPr>
                <w:rFonts w:ascii="宋体" w:hAnsi="宋体" w:cs="宋体"/>
                <w:sz w:val="18"/>
                <w:szCs w:val="18"/>
              </w:rPr>
            </w:pPr>
            <w:r>
              <w:rPr>
                <w:rFonts w:hint="eastAsia" w:ascii="宋体" w:hAnsi="宋体" w:cs="宋体"/>
                <w:sz w:val="18"/>
                <w:szCs w:val="18"/>
              </w:rPr>
              <w:t>m</w:t>
            </w:r>
          </w:p>
        </w:tc>
        <w:tc>
          <w:tcPr>
            <w:tcW w:w="1235" w:type="dxa"/>
            <w:gridSpan w:val="3"/>
            <w:vAlign w:val="center"/>
          </w:tcPr>
          <w:p w14:paraId="4E42F6C1">
            <w:pPr>
              <w:spacing w:line="240" w:lineRule="auto"/>
              <w:rPr>
                <w:rFonts w:ascii="宋体" w:hAnsi="宋体" w:cs="宋体"/>
                <w:sz w:val="18"/>
                <w:szCs w:val="18"/>
              </w:rPr>
            </w:pPr>
            <w:r>
              <w:rPr>
                <w:rFonts w:hint="eastAsia" w:ascii="宋体" w:hAnsi="宋体" w:cs="宋体"/>
                <w:sz w:val="18"/>
                <w:szCs w:val="18"/>
              </w:rPr>
              <w:t>塌陷坑数量</w:t>
            </w:r>
          </w:p>
        </w:tc>
        <w:tc>
          <w:tcPr>
            <w:tcW w:w="996" w:type="dxa"/>
            <w:vAlign w:val="center"/>
          </w:tcPr>
          <w:p w14:paraId="7A013628">
            <w:pPr>
              <w:spacing w:line="240" w:lineRule="auto"/>
              <w:jc w:val="right"/>
              <w:rPr>
                <w:rFonts w:ascii="宋体" w:hAnsi="宋体" w:cs="宋体"/>
                <w:sz w:val="18"/>
                <w:szCs w:val="18"/>
              </w:rPr>
            </w:pPr>
            <w:r>
              <w:rPr>
                <w:rFonts w:hint="eastAsia" w:ascii="宋体" w:hAnsi="宋体" w:cs="宋体"/>
                <w:sz w:val="18"/>
                <w:szCs w:val="18"/>
              </w:rPr>
              <w:t>个</w:t>
            </w:r>
          </w:p>
        </w:tc>
      </w:tr>
      <w:tr w14:paraId="19348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8" w:hRule="atLeast"/>
          <w:jc w:val="center"/>
        </w:trPr>
        <w:tc>
          <w:tcPr>
            <w:tcW w:w="1141" w:type="dxa"/>
            <w:vAlign w:val="center"/>
          </w:tcPr>
          <w:p w14:paraId="3C276EF5">
            <w:pPr>
              <w:spacing w:line="240" w:lineRule="auto"/>
              <w:rPr>
                <w:rFonts w:ascii="宋体" w:hAnsi="宋体" w:cs="宋体"/>
                <w:sz w:val="18"/>
                <w:szCs w:val="18"/>
              </w:rPr>
            </w:pPr>
            <w:r>
              <w:rPr>
                <w:rFonts w:hint="eastAsia" w:ascii="宋体" w:hAnsi="宋体" w:cs="宋体"/>
                <w:sz w:val="18"/>
                <w:szCs w:val="18"/>
              </w:rPr>
              <w:t>塌陷坑群延伸长轴方向</w:t>
            </w:r>
          </w:p>
        </w:tc>
        <w:tc>
          <w:tcPr>
            <w:tcW w:w="2917" w:type="dxa"/>
            <w:gridSpan w:val="6"/>
            <w:vAlign w:val="center"/>
          </w:tcPr>
          <w:p w14:paraId="4FD89082">
            <w:pPr>
              <w:spacing w:line="240" w:lineRule="auto"/>
              <w:rPr>
                <w:rFonts w:ascii="宋体" w:hAnsi="宋体" w:cs="宋体"/>
                <w:sz w:val="18"/>
                <w:szCs w:val="18"/>
              </w:rPr>
            </w:pPr>
            <w:r>
              <w:rPr>
                <w:rFonts w:hint="eastAsia" w:ascii="宋体" w:hAnsi="宋体" w:cs="宋体"/>
                <w:sz w:val="18"/>
                <w:szCs w:val="18"/>
              </w:rPr>
              <w:t>塌陷坑群影响范围</w:t>
            </w:r>
          </w:p>
        </w:tc>
        <w:tc>
          <w:tcPr>
            <w:tcW w:w="930" w:type="dxa"/>
            <w:gridSpan w:val="3"/>
            <w:vAlign w:val="center"/>
          </w:tcPr>
          <w:p w14:paraId="422CAD75">
            <w:pPr>
              <w:spacing w:line="240" w:lineRule="auto"/>
              <w:rPr>
                <w:rFonts w:ascii="宋体" w:hAnsi="宋体" w:cs="宋体"/>
                <w:sz w:val="18"/>
                <w:szCs w:val="18"/>
              </w:rPr>
            </w:pPr>
            <w:r>
              <w:rPr>
                <w:rFonts w:hint="eastAsia" w:ascii="宋体" w:hAnsi="宋体" w:cs="宋体"/>
                <w:sz w:val="18"/>
                <w:szCs w:val="18"/>
              </w:rPr>
              <w:t>塌陷坑最大深度</w:t>
            </w:r>
          </w:p>
        </w:tc>
        <w:tc>
          <w:tcPr>
            <w:tcW w:w="930" w:type="dxa"/>
            <w:gridSpan w:val="3"/>
            <w:vAlign w:val="center"/>
          </w:tcPr>
          <w:p w14:paraId="4707405D">
            <w:pPr>
              <w:spacing w:line="240" w:lineRule="auto"/>
              <w:rPr>
                <w:rFonts w:ascii="宋体" w:hAnsi="宋体" w:cs="宋体"/>
                <w:sz w:val="18"/>
                <w:szCs w:val="18"/>
              </w:rPr>
            </w:pPr>
            <w:r>
              <w:rPr>
                <w:rFonts w:hint="eastAsia" w:ascii="宋体" w:hAnsi="宋体" w:cs="宋体"/>
                <w:sz w:val="18"/>
                <w:szCs w:val="18"/>
              </w:rPr>
              <w:t>塌陷坑平均深度</w:t>
            </w:r>
          </w:p>
        </w:tc>
        <w:tc>
          <w:tcPr>
            <w:tcW w:w="1418" w:type="dxa"/>
            <w:gridSpan w:val="3"/>
            <w:vAlign w:val="center"/>
          </w:tcPr>
          <w:p w14:paraId="7C3D07F9">
            <w:pPr>
              <w:spacing w:line="240" w:lineRule="auto"/>
              <w:rPr>
                <w:rFonts w:ascii="宋体" w:hAnsi="宋体" w:cs="宋体"/>
                <w:sz w:val="18"/>
                <w:szCs w:val="18"/>
              </w:rPr>
            </w:pPr>
            <w:r>
              <w:rPr>
                <w:rFonts w:hint="eastAsia" w:ascii="宋体" w:hAnsi="宋体" w:cs="宋体"/>
                <w:sz w:val="18"/>
                <w:szCs w:val="18"/>
              </w:rPr>
              <w:t>塌陷坑最小深度</w:t>
            </w:r>
          </w:p>
        </w:tc>
        <w:tc>
          <w:tcPr>
            <w:tcW w:w="1235" w:type="dxa"/>
            <w:gridSpan w:val="3"/>
            <w:vAlign w:val="center"/>
          </w:tcPr>
          <w:p w14:paraId="4C67D3A4">
            <w:pPr>
              <w:spacing w:line="240" w:lineRule="auto"/>
              <w:rPr>
                <w:rFonts w:ascii="宋体" w:hAnsi="宋体" w:cs="宋体"/>
                <w:sz w:val="18"/>
                <w:szCs w:val="18"/>
              </w:rPr>
            </w:pPr>
            <w:r>
              <w:rPr>
                <w:rFonts w:hint="eastAsia" w:ascii="宋体" w:hAnsi="宋体" w:cs="宋体"/>
                <w:sz w:val="18"/>
                <w:szCs w:val="18"/>
              </w:rPr>
              <w:t>塌陷坑最大坑口面积</w:t>
            </w:r>
          </w:p>
        </w:tc>
        <w:tc>
          <w:tcPr>
            <w:tcW w:w="996" w:type="dxa"/>
            <w:vAlign w:val="center"/>
          </w:tcPr>
          <w:p w14:paraId="462F21E7">
            <w:pPr>
              <w:spacing w:line="240" w:lineRule="auto"/>
              <w:rPr>
                <w:rFonts w:ascii="宋体" w:hAnsi="宋体" w:cs="宋体"/>
                <w:sz w:val="18"/>
                <w:szCs w:val="18"/>
              </w:rPr>
            </w:pPr>
            <w:r>
              <w:rPr>
                <w:rFonts w:hint="eastAsia" w:ascii="宋体" w:hAnsi="宋体" w:cs="宋体"/>
                <w:sz w:val="18"/>
                <w:szCs w:val="18"/>
              </w:rPr>
              <w:t>塌陷坑最大陷落体积</w:t>
            </w:r>
          </w:p>
        </w:tc>
      </w:tr>
      <w:tr w14:paraId="219F9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1" w:hRule="atLeast"/>
          <w:jc w:val="center"/>
        </w:trPr>
        <w:tc>
          <w:tcPr>
            <w:tcW w:w="1141" w:type="dxa"/>
            <w:vAlign w:val="center"/>
          </w:tcPr>
          <w:p w14:paraId="0F360835">
            <w:pPr>
              <w:spacing w:line="240" w:lineRule="auto"/>
              <w:jc w:val="right"/>
              <w:rPr>
                <w:rFonts w:ascii="宋体" w:hAnsi="宋体" w:cs="宋体"/>
                <w:sz w:val="18"/>
                <w:szCs w:val="18"/>
              </w:rPr>
            </w:pPr>
            <w:r>
              <w:rPr>
                <w:rFonts w:hint="eastAsia" w:ascii="宋体" w:hAnsi="宋体" w:cs="宋体"/>
                <w:sz w:val="18"/>
                <w:szCs w:val="18"/>
              </w:rPr>
              <w:t>°</w:t>
            </w:r>
          </w:p>
        </w:tc>
        <w:tc>
          <w:tcPr>
            <w:tcW w:w="2917" w:type="dxa"/>
            <w:gridSpan w:val="6"/>
            <w:vAlign w:val="center"/>
          </w:tcPr>
          <w:p w14:paraId="26E59E31">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c>
          <w:tcPr>
            <w:tcW w:w="930" w:type="dxa"/>
            <w:gridSpan w:val="3"/>
            <w:vAlign w:val="center"/>
          </w:tcPr>
          <w:p w14:paraId="51F27579">
            <w:pPr>
              <w:spacing w:line="240" w:lineRule="auto"/>
              <w:jc w:val="right"/>
              <w:rPr>
                <w:rFonts w:ascii="宋体" w:hAnsi="宋体" w:cs="宋体"/>
                <w:sz w:val="18"/>
                <w:szCs w:val="18"/>
              </w:rPr>
            </w:pPr>
            <w:r>
              <w:rPr>
                <w:rFonts w:hint="eastAsia" w:ascii="宋体" w:hAnsi="宋体" w:cs="宋体"/>
                <w:sz w:val="18"/>
                <w:szCs w:val="18"/>
              </w:rPr>
              <w:t>m</w:t>
            </w:r>
          </w:p>
        </w:tc>
        <w:tc>
          <w:tcPr>
            <w:tcW w:w="930" w:type="dxa"/>
            <w:gridSpan w:val="3"/>
            <w:vAlign w:val="center"/>
          </w:tcPr>
          <w:p w14:paraId="5D917B39">
            <w:pPr>
              <w:spacing w:line="240" w:lineRule="auto"/>
              <w:jc w:val="right"/>
              <w:rPr>
                <w:rFonts w:ascii="宋体" w:hAnsi="宋体" w:cs="宋体"/>
                <w:sz w:val="18"/>
                <w:szCs w:val="18"/>
              </w:rPr>
            </w:pPr>
            <w:r>
              <w:rPr>
                <w:rFonts w:hint="eastAsia" w:ascii="宋体" w:hAnsi="宋体" w:cs="宋体"/>
                <w:sz w:val="18"/>
                <w:szCs w:val="18"/>
              </w:rPr>
              <w:t>m</w:t>
            </w:r>
          </w:p>
        </w:tc>
        <w:tc>
          <w:tcPr>
            <w:tcW w:w="1418" w:type="dxa"/>
            <w:gridSpan w:val="3"/>
            <w:vAlign w:val="center"/>
          </w:tcPr>
          <w:p w14:paraId="31311280">
            <w:pPr>
              <w:spacing w:line="240" w:lineRule="auto"/>
              <w:jc w:val="right"/>
              <w:rPr>
                <w:rFonts w:ascii="宋体" w:hAnsi="宋体" w:cs="宋体"/>
                <w:sz w:val="18"/>
                <w:szCs w:val="18"/>
              </w:rPr>
            </w:pPr>
            <w:r>
              <w:rPr>
                <w:rFonts w:hint="eastAsia" w:ascii="宋体" w:hAnsi="宋体" w:cs="宋体"/>
                <w:sz w:val="18"/>
                <w:szCs w:val="18"/>
              </w:rPr>
              <w:t>m</w:t>
            </w:r>
          </w:p>
        </w:tc>
        <w:tc>
          <w:tcPr>
            <w:tcW w:w="1235" w:type="dxa"/>
            <w:gridSpan w:val="3"/>
            <w:vAlign w:val="center"/>
          </w:tcPr>
          <w:p w14:paraId="429F7558">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c>
          <w:tcPr>
            <w:tcW w:w="996" w:type="dxa"/>
            <w:vAlign w:val="center"/>
          </w:tcPr>
          <w:p w14:paraId="7A657753">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3</w:t>
            </w:r>
          </w:p>
        </w:tc>
      </w:tr>
      <w:tr w14:paraId="14510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0" w:hRule="atLeast"/>
          <w:jc w:val="center"/>
        </w:trPr>
        <w:tc>
          <w:tcPr>
            <w:tcW w:w="1141" w:type="dxa"/>
            <w:vAlign w:val="center"/>
          </w:tcPr>
          <w:p w14:paraId="02F6D0FC">
            <w:pPr>
              <w:spacing w:line="240" w:lineRule="auto"/>
              <w:rPr>
                <w:rFonts w:ascii="宋体" w:hAnsi="宋体" w:cs="宋体"/>
                <w:sz w:val="18"/>
                <w:szCs w:val="18"/>
              </w:rPr>
            </w:pPr>
            <w:r>
              <w:rPr>
                <w:rFonts w:hint="eastAsia" w:ascii="宋体" w:hAnsi="宋体" w:cs="宋体"/>
                <w:sz w:val="18"/>
                <w:szCs w:val="18"/>
              </w:rPr>
              <w:t>伴生裂缝最大长度</w:t>
            </w:r>
          </w:p>
        </w:tc>
        <w:tc>
          <w:tcPr>
            <w:tcW w:w="1375" w:type="dxa"/>
            <w:gridSpan w:val="3"/>
            <w:vAlign w:val="center"/>
          </w:tcPr>
          <w:p w14:paraId="51BBF4AA">
            <w:pPr>
              <w:spacing w:line="240" w:lineRule="auto"/>
              <w:jc w:val="right"/>
              <w:rPr>
                <w:rFonts w:ascii="宋体" w:hAnsi="宋体" w:cs="宋体"/>
                <w:sz w:val="18"/>
                <w:szCs w:val="18"/>
              </w:rPr>
            </w:pPr>
            <w:r>
              <w:rPr>
                <w:rFonts w:hint="eastAsia" w:ascii="宋体" w:hAnsi="宋体" w:cs="宋体"/>
                <w:sz w:val="18"/>
                <w:szCs w:val="18"/>
              </w:rPr>
              <w:t>m</w:t>
            </w:r>
          </w:p>
        </w:tc>
        <w:tc>
          <w:tcPr>
            <w:tcW w:w="1542" w:type="dxa"/>
            <w:gridSpan w:val="3"/>
            <w:vAlign w:val="center"/>
          </w:tcPr>
          <w:p w14:paraId="32A6028A">
            <w:pPr>
              <w:spacing w:line="240" w:lineRule="auto"/>
              <w:rPr>
                <w:rFonts w:ascii="宋体" w:hAnsi="宋体" w:cs="宋体"/>
                <w:sz w:val="18"/>
                <w:szCs w:val="18"/>
              </w:rPr>
            </w:pPr>
            <w:r>
              <w:rPr>
                <w:rFonts w:hint="eastAsia" w:ascii="宋体" w:hAnsi="宋体" w:cs="宋体"/>
                <w:sz w:val="18"/>
                <w:szCs w:val="18"/>
              </w:rPr>
              <w:t>伴生群缝排列方式</w:t>
            </w:r>
          </w:p>
        </w:tc>
        <w:tc>
          <w:tcPr>
            <w:tcW w:w="1860" w:type="dxa"/>
            <w:gridSpan w:val="6"/>
            <w:vAlign w:val="center"/>
          </w:tcPr>
          <w:p w14:paraId="25BC3E61">
            <w:pPr>
              <w:spacing w:line="240" w:lineRule="auto"/>
              <w:rPr>
                <w:rFonts w:ascii="宋体" w:hAnsi="宋体" w:cs="宋体"/>
                <w:sz w:val="18"/>
                <w:szCs w:val="18"/>
              </w:rPr>
            </w:pPr>
            <w:r>
              <w:rPr>
                <w:rFonts w:hint="eastAsia" w:ascii="宋体" w:hAnsi="宋体" w:cs="宋体"/>
                <w:sz w:val="18"/>
                <w:szCs w:val="18"/>
              </w:rPr>
              <w:t>□平行□斜列□环围□杂乱无章</w:t>
            </w:r>
          </w:p>
        </w:tc>
        <w:tc>
          <w:tcPr>
            <w:tcW w:w="2653" w:type="dxa"/>
            <w:gridSpan w:val="6"/>
            <w:vAlign w:val="center"/>
          </w:tcPr>
          <w:p w14:paraId="41B1C556">
            <w:pPr>
              <w:spacing w:line="240" w:lineRule="auto"/>
              <w:rPr>
                <w:rFonts w:ascii="宋体" w:hAnsi="宋体" w:cs="宋体"/>
                <w:sz w:val="18"/>
                <w:szCs w:val="18"/>
              </w:rPr>
            </w:pPr>
            <w:r>
              <w:rPr>
                <w:rFonts w:hint="eastAsia" w:ascii="宋体" w:hAnsi="宋体" w:cs="宋体"/>
                <w:sz w:val="18"/>
                <w:szCs w:val="18"/>
              </w:rPr>
              <w:t>伴生群缝影响范围</w:t>
            </w:r>
          </w:p>
        </w:tc>
        <w:tc>
          <w:tcPr>
            <w:tcW w:w="996" w:type="dxa"/>
            <w:vAlign w:val="center"/>
          </w:tcPr>
          <w:p w14:paraId="5BEC53A0">
            <w:pPr>
              <w:spacing w:line="240" w:lineRule="auto"/>
              <w:jc w:val="right"/>
              <w:rPr>
                <w:rFonts w:ascii="宋体" w:hAnsi="宋体" w:cs="宋体"/>
                <w:sz w:val="18"/>
                <w:szCs w:val="18"/>
              </w:rPr>
            </w:pPr>
            <w:r>
              <w:rPr>
                <w:rFonts w:hint="eastAsia" w:ascii="宋体" w:hAnsi="宋体" w:cs="宋体"/>
                <w:sz w:val="18"/>
                <w:szCs w:val="18"/>
              </w:rPr>
              <w:t>m</w:t>
            </w:r>
            <w:r>
              <w:rPr>
                <w:rFonts w:hint="eastAsia" w:ascii="宋体" w:hAnsi="宋体" w:cs="宋体"/>
                <w:sz w:val="18"/>
                <w:szCs w:val="18"/>
                <w:vertAlign w:val="superscript"/>
              </w:rPr>
              <w:t>2</w:t>
            </w:r>
          </w:p>
        </w:tc>
      </w:tr>
      <w:tr w14:paraId="20B6F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5" w:hRule="atLeast"/>
          <w:jc w:val="center"/>
        </w:trPr>
        <w:tc>
          <w:tcPr>
            <w:tcW w:w="1141" w:type="dxa"/>
            <w:vAlign w:val="center"/>
          </w:tcPr>
          <w:p w14:paraId="0308F846">
            <w:pPr>
              <w:spacing w:line="240" w:lineRule="auto"/>
              <w:rPr>
                <w:rFonts w:ascii="宋体" w:hAnsi="宋体" w:cs="宋体"/>
                <w:sz w:val="18"/>
                <w:szCs w:val="18"/>
              </w:rPr>
            </w:pPr>
            <w:r>
              <w:rPr>
                <w:rFonts w:hint="eastAsia" w:ascii="宋体" w:hAnsi="宋体" w:cs="宋体"/>
                <w:sz w:val="18"/>
                <w:szCs w:val="18"/>
              </w:rPr>
              <w:t>死亡人数（人）</w:t>
            </w:r>
          </w:p>
        </w:tc>
        <w:tc>
          <w:tcPr>
            <w:tcW w:w="1375" w:type="dxa"/>
            <w:gridSpan w:val="3"/>
            <w:vAlign w:val="center"/>
          </w:tcPr>
          <w:p w14:paraId="0A295905">
            <w:pPr>
              <w:spacing w:line="240" w:lineRule="auto"/>
              <w:rPr>
                <w:rFonts w:ascii="宋体" w:hAnsi="宋体" w:cs="宋体"/>
                <w:sz w:val="18"/>
                <w:szCs w:val="18"/>
              </w:rPr>
            </w:pPr>
          </w:p>
        </w:tc>
        <w:tc>
          <w:tcPr>
            <w:tcW w:w="1542" w:type="dxa"/>
            <w:gridSpan w:val="3"/>
            <w:vAlign w:val="center"/>
          </w:tcPr>
          <w:p w14:paraId="6F48C226">
            <w:pPr>
              <w:spacing w:line="240" w:lineRule="auto"/>
              <w:rPr>
                <w:rFonts w:ascii="宋体" w:hAnsi="宋体" w:cs="宋体"/>
                <w:sz w:val="18"/>
                <w:szCs w:val="18"/>
              </w:rPr>
            </w:pPr>
            <w:r>
              <w:rPr>
                <w:rFonts w:hint="eastAsia" w:ascii="宋体" w:hAnsi="宋体" w:cs="宋体"/>
                <w:sz w:val="18"/>
                <w:szCs w:val="18"/>
              </w:rPr>
              <w:t>直接损失（万元）</w:t>
            </w:r>
          </w:p>
        </w:tc>
        <w:tc>
          <w:tcPr>
            <w:tcW w:w="930" w:type="dxa"/>
            <w:gridSpan w:val="3"/>
            <w:vAlign w:val="center"/>
          </w:tcPr>
          <w:p w14:paraId="554D1884">
            <w:pPr>
              <w:spacing w:line="240" w:lineRule="auto"/>
              <w:rPr>
                <w:rFonts w:ascii="宋体" w:hAnsi="宋体" w:cs="宋体"/>
                <w:sz w:val="18"/>
                <w:szCs w:val="18"/>
              </w:rPr>
            </w:pPr>
          </w:p>
        </w:tc>
        <w:tc>
          <w:tcPr>
            <w:tcW w:w="930" w:type="dxa"/>
            <w:gridSpan w:val="3"/>
            <w:vAlign w:val="center"/>
          </w:tcPr>
          <w:p w14:paraId="09B26017">
            <w:pPr>
              <w:spacing w:line="240" w:lineRule="auto"/>
              <w:rPr>
                <w:rFonts w:ascii="宋体" w:hAnsi="宋体" w:cs="宋体"/>
                <w:sz w:val="18"/>
                <w:szCs w:val="18"/>
              </w:rPr>
            </w:pPr>
            <w:r>
              <w:rPr>
                <w:rFonts w:hint="eastAsia" w:ascii="宋体" w:hAnsi="宋体" w:cs="宋体"/>
                <w:sz w:val="18"/>
                <w:szCs w:val="18"/>
              </w:rPr>
              <w:t>威胁人口（人）</w:t>
            </w:r>
          </w:p>
        </w:tc>
        <w:tc>
          <w:tcPr>
            <w:tcW w:w="1528" w:type="dxa"/>
            <w:gridSpan w:val="4"/>
            <w:vAlign w:val="center"/>
          </w:tcPr>
          <w:p w14:paraId="1B1D078F">
            <w:pPr>
              <w:spacing w:line="240" w:lineRule="auto"/>
              <w:rPr>
                <w:rFonts w:ascii="宋体" w:hAnsi="宋体" w:cs="宋体"/>
                <w:sz w:val="18"/>
                <w:szCs w:val="18"/>
              </w:rPr>
            </w:pPr>
          </w:p>
        </w:tc>
        <w:tc>
          <w:tcPr>
            <w:tcW w:w="1125" w:type="dxa"/>
            <w:gridSpan w:val="2"/>
            <w:vAlign w:val="center"/>
          </w:tcPr>
          <w:p w14:paraId="43B7AB14">
            <w:pPr>
              <w:spacing w:line="240" w:lineRule="auto"/>
              <w:rPr>
                <w:rFonts w:ascii="宋体" w:hAnsi="宋体" w:cs="宋体"/>
                <w:sz w:val="18"/>
                <w:szCs w:val="18"/>
              </w:rPr>
            </w:pPr>
            <w:r>
              <w:rPr>
                <w:rFonts w:hint="eastAsia" w:ascii="宋体" w:hAnsi="宋体" w:cs="宋体"/>
                <w:sz w:val="18"/>
                <w:szCs w:val="18"/>
              </w:rPr>
              <w:t>威胁财产（万元）</w:t>
            </w:r>
          </w:p>
        </w:tc>
        <w:tc>
          <w:tcPr>
            <w:tcW w:w="996" w:type="dxa"/>
            <w:vAlign w:val="center"/>
          </w:tcPr>
          <w:p w14:paraId="782AE598">
            <w:pPr>
              <w:spacing w:line="240" w:lineRule="auto"/>
              <w:rPr>
                <w:rFonts w:ascii="宋体" w:hAnsi="宋体" w:cs="宋体"/>
                <w:sz w:val="18"/>
                <w:szCs w:val="18"/>
              </w:rPr>
            </w:pPr>
          </w:p>
        </w:tc>
      </w:tr>
      <w:tr w14:paraId="423D9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2" w:hRule="atLeast"/>
          <w:jc w:val="center"/>
        </w:trPr>
        <w:tc>
          <w:tcPr>
            <w:tcW w:w="1141" w:type="dxa"/>
            <w:vAlign w:val="center"/>
          </w:tcPr>
          <w:p w14:paraId="25F21E28">
            <w:pPr>
              <w:spacing w:line="240" w:lineRule="auto"/>
              <w:rPr>
                <w:rFonts w:ascii="宋体" w:hAnsi="宋体" w:cs="宋体"/>
                <w:sz w:val="18"/>
                <w:szCs w:val="18"/>
              </w:rPr>
            </w:pPr>
            <w:r>
              <w:rPr>
                <w:rFonts w:hint="eastAsia" w:ascii="宋体" w:hAnsi="宋体" w:cs="宋体"/>
                <w:sz w:val="18"/>
                <w:szCs w:val="18"/>
              </w:rPr>
              <w:t>灾情等级</w:t>
            </w:r>
          </w:p>
        </w:tc>
        <w:tc>
          <w:tcPr>
            <w:tcW w:w="3847" w:type="dxa"/>
            <w:gridSpan w:val="9"/>
            <w:vAlign w:val="center"/>
          </w:tcPr>
          <w:p w14:paraId="547BA9EA">
            <w:pPr>
              <w:spacing w:line="240" w:lineRule="auto"/>
              <w:rPr>
                <w:rFonts w:ascii="宋体" w:hAnsi="宋体" w:cs="宋体"/>
                <w:sz w:val="18"/>
                <w:szCs w:val="18"/>
              </w:rPr>
            </w:pPr>
            <w:r>
              <w:rPr>
                <w:rFonts w:hint="eastAsia" w:ascii="宋体" w:hAnsi="宋体" w:cs="宋体"/>
                <w:sz w:val="18"/>
                <w:szCs w:val="18"/>
              </w:rPr>
              <w:t>□特大型     □大型</w:t>
            </w:r>
          </w:p>
          <w:p w14:paraId="2732577E">
            <w:pPr>
              <w:spacing w:line="240" w:lineRule="auto"/>
              <w:rPr>
                <w:rFonts w:ascii="宋体" w:hAnsi="宋体" w:cs="宋体"/>
                <w:sz w:val="18"/>
                <w:szCs w:val="18"/>
              </w:rPr>
            </w:pPr>
            <w:r>
              <w:rPr>
                <w:rFonts w:hint="eastAsia" w:ascii="宋体" w:hAnsi="宋体" w:cs="宋体"/>
                <w:sz w:val="18"/>
                <w:szCs w:val="18"/>
              </w:rPr>
              <w:t>□中型       □小型</w:t>
            </w:r>
          </w:p>
        </w:tc>
        <w:tc>
          <w:tcPr>
            <w:tcW w:w="2458" w:type="dxa"/>
            <w:gridSpan w:val="7"/>
            <w:vAlign w:val="center"/>
          </w:tcPr>
          <w:p w14:paraId="51533C50">
            <w:pPr>
              <w:spacing w:line="240" w:lineRule="auto"/>
              <w:rPr>
                <w:rFonts w:ascii="宋体" w:hAnsi="宋体" w:cs="宋体"/>
                <w:sz w:val="18"/>
                <w:szCs w:val="18"/>
              </w:rPr>
            </w:pPr>
            <w:r>
              <w:rPr>
                <w:rFonts w:hint="eastAsia" w:ascii="宋体" w:hAnsi="宋体" w:cs="宋体"/>
                <w:sz w:val="18"/>
                <w:szCs w:val="18"/>
              </w:rPr>
              <w:t>险情等级</w:t>
            </w:r>
          </w:p>
        </w:tc>
        <w:tc>
          <w:tcPr>
            <w:tcW w:w="2121" w:type="dxa"/>
            <w:gridSpan w:val="3"/>
            <w:vAlign w:val="center"/>
          </w:tcPr>
          <w:p w14:paraId="013DA41B">
            <w:pPr>
              <w:spacing w:line="240" w:lineRule="auto"/>
              <w:rPr>
                <w:rFonts w:ascii="宋体" w:hAnsi="宋体" w:cs="宋体"/>
                <w:sz w:val="18"/>
                <w:szCs w:val="18"/>
              </w:rPr>
            </w:pPr>
            <w:r>
              <w:rPr>
                <w:rFonts w:hint="eastAsia" w:ascii="宋体" w:hAnsi="宋体" w:cs="宋体"/>
                <w:sz w:val="18"/>
                <w:szCs w:val="18"/>
              </w:rPr>
              <w:t>□特大型     □大型</w:t>
            </w:r>
          </w:p>
          <w:p w14:paraId="34CD4786">
            <w:pPr>
              <w:spacing w:line="240" w:lineRule="auto"/>
              <w:rPr>
                <w:rFonts w:ascii="宋体" w:hAnsi="宋体" w:cs="宋体"/>
                <w:sz w:val="18"/>
                <w:szCs w:val="18"/>
              </w:rPr>
            </w:pPr>
            <w:r>
              <w:rPr>
                <w:rFonts w:hint="eastAsia" w:ascii="宋体" w:hAnsi="宋体" w:cs="宋体"/>
                <w:sz w:val="18"/>
                <w:szCs w:val="18"/>
              </w:rPr>
              <w:t>□中型       □小型</w:t>
            </w:r>
          </w:p>
        </w:tc>
      </w:tr>
      <w:tr w14:paraId="6497E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99" w:hRule="atLeast"/>
          <w:jc w:val="center"/>
        </w:trPr>
        <w:tc>
          <w:tcPr>
            <w:tcW w:w="1141" w:type="dxa"/>
            <w:vAlign w:val="center"/>
          </w:tcPr>
          <w:p w14:paraId="50CFF0DB">
            <w:pPr>
              <w:spacing w:line="240" w:lineRule="auto"/>
              <w:rPr>
                <w:rFonts w:ascii="宋体" w:hAnsi="宋体" w:cs="宋体"/>
                <w:sz w:val="18"/>
                <w:szCs w:val="18"/>
              </w:rPr>
            </w:pPr>
            <w:r>
              <w:rPr>
                <w:rFonts w:hint="eastAsia" w:ascii="宋体" w:hAnsi="宋体" w:cs="宋体"/>
                <w:sz w:val="18"/>
                <w:szCs w:val="18"/>
              </w:rPr>
              <w:t>承灾体调查</w:t>
            </w:r>
          </w:p>
        </w:tc>
        <w:tc>
          <w:tcPr>
            <w:tcW w:w="8426" w:type="dxa"/>
            <w:gridSpan w:val="19"/>
            <w:vAlign w:val="center"/>
          </w:tcPr>
          <w:p w14:paraId="5457F04D">
            <w:pPr>
              <w:spacing w:line="240" w:lineRule="auto"/>
              <w:rPr>
                <w:rFonts w:ascii="宋体" w:hAnsi="宋体" w:cs="宋体"/>
                <w:sz w:val="18"/>
                <w:szCs w:val="18"/>
              </w:rPr>
            </w:pPr>
            <w:r>
              <w:rPr>
                <w:rFonts w:hint="eastAsia" w:ascii="宋体" w:hAnsi="宋体" w:cs="宋体"/>
                <w:sz w:val="18"/>
                <w:szCs w:val="18"/>
              </w:rPr>
              <w:t xml:space="preserve">人员：□居民：户籍人口  </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 xml:space="preserve">人，常住人口： </w:t>
            </w:r>
            <w:r>
              <w:rPr>
                <w:rFonts w:hint="eastAsia" w:ascii="宋体" w:hAnsi="宋体" w:cs="宋体"/>
                <w:sz w:val="18"/>
                <w:szCs w:val="18"/>
                <w:u w:val="single"/>
              </w:rPr>
              <w:t xml:space="preserve">       </w:t>
            </w:r>
            <w:r>
              <w:rPr>
                <w:rFonts w:hint="eastAsia" w:ascii="宋体" w:hAnsi="宋体" w:cs="宋体"/>
                <w:sz w:val="18"/>
                <w:szCs w:val="18"/>
              </w:rPr>
              <w:t>户</w:t>
            </w:r>
            <w:r>
              <w:rPr>
                <w:rFonts w:hint="eastAsia" w:ascii="宋体" w:hAnsi="宋体" w:cs="宋体"/>
                <w:sz w:val="18"/>
                <w:szCs w:val="18"/>
                <w:u w:val="single"/>
              </w:rPr>
              <w:t xml:space="preserve">        </w:t>
            </w:r>
            <w:r>
              <w:rPr>
                <w:rFonts w:hint="eastAsia" w:ascii="宋体" w:hAnsi="宋体" w:cs="宋体"/>
                <w:sz w:val="18"/>
                <w:szCs w:val="18"/>
              </w:rPr>
              <w:t>人；□其他常驻人口：</w:t>
            </w:r>
            <w:r>
              <w:rPr>
                <w:rFonts w:hint="eastAsia" w:ascii="宋体" w:hAnsi="宋体" w:cs="宋体"/>
                <w:sz w:val="18"/>
                <w:szCs w:val="18"/>
                <w:u w:val="single"/>
              </w:rPr>
              <w:t xml:space="preserve">         </w:t>
            </w:r>
            <w:r>
              <w:rPr>
                <w:rFonts w:hint="eastAsia" w:ascii="宋体" w:hAnsi="宋体" w:cs="宋体"/>
                <w:sz w:val="18"/>
                <w:szCs w:val="18"/>
              </w:rPr>
              <w:t>人</w:t>
            </w:r>
          </w:p>
          <w:p w14:paraId="4CAAA5A5">
            <w:pPr>
              <w:spacing w:line="240" w:lineRule="auto"/>
              <w:rPr>
                <w:rFonts w:ascii="宋体" w:hAnsi="宋体" w:cs="宋体"/>
                <w:sz w:val="18"/>
                <w:szCs w:val="18"/>
              </w:rPr>
            </w:pPr>
            <w:r>
              <w:rPr>
                <w:rFonts w:hint="eastAsia" w:ascii="宋体" w:hAnsi="宋体" w:cs="宋体"/>
                <w:sz w:val="18"/>
                <w:szCs w:val="18"/>
              </w:rPr>
              <w:t>基础设施：□房屋</w:t>
            </w:r>
            <w:r>
              <w:rPr>
                <w:rFonts w:hint="eastAsia" w:ascii="宋体" w:hAnsi="宋体" w:cs="宋体"/>
                <w:sz w:val="18"/>
                <w:szCs w:val="18"/>
                <w:u w:val="single"/>
              </w:rPr>
              <w:t xml:space="preserve">    </w:t>
            </w:r>
            <w:r>
              <w:rPr>
                <w:rFonts w:hint="eastAsia" w:ascii="宋体" w:hAnsi="宋体" w:cs="宋体"/>
                <w:sz w:val="18"/>
                <w:szCs w:val="18"/>
              </w:rPr>
              <w:t>间，  其中□钢结构</w:t>
            </w:r>
            <w:r>
              <w:rPr>
                <w:rFonts w:hint="eastAsia" w:ascii="宋体" w:hAnsi="宋体" w:cs="宋体"/>
                <w:sz w:val="18"/>
                <w:szCs w:val="18"/>
                <w:u w:val="single"/>
              </w:rPr>
              <w:t xml:space="preserve">    </w:t>
            </w:r>
            <w:r>
              <w:rPr>
                <w:rFonts w:hint="eastAsia" w:ascii="宋体" w:hAnsi="宋体" w:cs="宋体"/>
                <w:sz w:val="18"/>
                <w:szCs w:val="18"/>
              </w:rPr>
              <w:t>间  □钢混</w:t>
            </w:r>
            <w:r>
              <w:rPr>
                <w:rFonts w:hint="eastAsia" w:ascii="宋体" w:hAnsi="宋体" w:cs="宋体"/>
                <w:sz w:val="18"/>
                <w:szCs w:val="18"/>
                <w:u w:val="single"/>
              </w:rPr>
              <w:t xml:space="preserve">    </w:t>
            </w:r>
            <w:r>
              <w:rPr>
                <w:rFonts w:hint="eastAsia" w:ascii="宋体" w:hAnsi="宋体" w:cs="宋体"/>
                <w:sz w:val="18"/>
                <w:szCs w:val="18"/>
              </w:rPr>
              <w:t>间  □砖混</w:t>
            </w:r>
            <w:r>
              <w:rPr>
                <w:rFonts w:hint="eastAsia" w:ascii="宋体" w:hAnsi="宋体" w:cs="宋体"/>
                <w:sz w:val="18"/>
                <w:szCs w:val="18"/>
                <w:u w:val="single"/>
              </w:rPr>
              <w:t xml:space="preserve">    </w:t>
            </w:r>
            <w:r>
              <w:rPr>
                <w:rFonts w:hint="eastAsia" w:ascii="宋体" w:hAnsi="宋体" w:cs="宋体"/>
                <w:sz w:val="18"/>
                <w:szCs w:val="18"/>
              </w:rPr>
              <w:t>间  □砖木</w:t>
            </w:r>
            <w:r>
              <w:rPr>
                <w:rFonts w:hint="eastAsia" w:ascii="宋体" w:hAnsi="宋体" w:cs="宋体"/>
                <w:sz w:val="18"/>
                <w:szCs w:val="18"/>
                <w:u w:val="single"/>
              </w:rPr>
              <w:t xml:space="preserve">    </w:t>
            </w:r>
            <w:r>
              <w:rPr>
                <w:rFonts w:hint="eastAsia" w:ascii="宋体" w:hAnsi="宋体" w:cs="宋体"/>
                <w:sz w:val="18"/>
                <w:szCs w:val="18"/>
              </w:rPr>
              <w:t xml:space="preserve">间  </w:t>
            </w:r>
          </w:p>
          <w:p w14:paraId="49A18574">
            <w:pPr>
              <w:spacing w:line="240" w:lineRule="auto"/>
              <w:rPr>
                <w:rFonts w:ascii="宋体" w:hAnsi="宋体" w:cs="宋体"/>
                <w:sz w:val="18"/>
                <w:szCs w:val="18"/>
              </w:rPr>
            </w:pPr>
            <w:r>
              <w:rPr>
                <w:rFonts w:hint="eastAsia" w:ascii="宋体" w:hAnsi="宋体" w:cs="宋体"/>
                <w:sz w:val="18"/>
                <w:szCs w:val="18"/>
              </w:rPr>
              <w:t>□土坯</w:t>
            </w:r>
            <w:r>
              <w:rPr>
                <w:rFonts w:hint="eastAsia" w:ascii="宋体" w:hAnsi="宋体" w:cs="宋体"/>
                <w:sz w:val="18"/>
                <w:szCs w:val="18"/>
                <w:u w:val="single"/>
              </w:rPr>
              <w:t xml:space="preserve">    </w:t>
            </w:r>
            <w:r>
              <w:rPr>
                <w:rFonts w:hint="eastAsia" w:ascii="宋体" w:hAnsi="宋体" w:cs="宋体"/>
                <w:sz w:val="18"/>
                <w:szCs w:val="18"/>
              </w:rPr>
              <w:t xml:space="preserve">间  □其他：       </w:t>
            </w:r>
          </w:p>
          <w:p w14:paraId="54899D2A">
            <w:pPr>
              <w:spacing w:line="240" w:lineRule="auto"/>
              <w:rPr>
                <w:rFonts w:ascii="宋体" w:hAnsi="宋体" w:cs="宋体"/>
                <w:sz w:val="18"/>
                <w:szCs w:val="18"/>
              </w:rPr>
            </w:pPr>
            <w:r>
              <w:rPr>
                <w:rFonts w:hint="eastAsia" w:ascii="宋体" w:hAnsi="宋体" w:cs="宋体"/>
                <w:sz w:val="18"/>
                <w:szCs w:val="18"/>
              </w:rPr>
              <w:t>□学校</w:t>
            </w:r>
            <w:r>
              <w:rPr>
                <w:rFonts w:hint="eastAsia" w:ascii="宋体" w:hAnsi="宋体" w:cs="宋体"/>
                <w:sz w:val="18"/>
                <w:szCs w:val="18"/>
                <w:u w:val="single"/>
              </w:rPr>
              <w:t xml:space="preserve">    </w:t>
            </w:r>
            <w:r>
              <w:rPr>
                <w:rFonts w:hint="eastAsia" w:ascii="宋体" w:hAnsi="宋体" w:cs="宋体"/>
                <w:sz w:val="18"/>
                <w:szCs w:val="18"/>
              </w:rPr>
              <w:t>个  □医院</w:t>
            </w:r>
            <w:r>
              <w:rPr>
                <w:rFonts w:hint="eastAsia" w:ascii="宋体" w:hAnsi="宋体" w:cs="宋体"/>
                <w:sz w:val="18"/>
                <w:szCs w:val="18"/>
                <w:u w:val="single"/>
              </w:rPr>
              <w:t xml:space="preserve">    </w:t>
            </w:r>
            <w:r>
              <w:rPr>
                <w:rFonts w:hint="eastAsia" w:ascii="宋体" w:hAnsi="宋体" w:cs="宋体"/>
                <w:sz w:val="18"/>
                <w:szCs w:val="18"/>
              </w:rPr>
              <w:t>个  □矿山</w:t>
            </w:r>
            <w:r>
              <w:rPr>
                <w:rFonts w:hint="eastAsia" w:ascii="宋体" w:hAnsi="宋体" w:cs="宋体"/>
                <w:sz w:val="18"/>
                <w:szCs w:val="18"/>
                <w:u w:val="single"/>
              </w:rPr>
              <w:t xml:space="preserve">   </w:t>
            </w:r>
            <w:r>
              <w:rPr>
                <w:rFonts w:hint="eastAsia" w:ascii="宋体" w:hAnsi="宋体" w:cs="宋体"/>
                <w:sz w:val="18"/>
                <w:szCs w:val="18"/>
              </w:rPr>
              <w:t>座  □工厂</w:t>
            </w:r>
            <w:r>
              <w:rPr>
                <w:rFonts w:hint="eastAsia" w:ascii="宋体" w:hAnsi="宋体" w:cs="宋体"/>
                <w:sz w:val="18"/>
                <w:szCs w:val="18"/>
                <w:u w:val="single"/>
              </w:rPr>
              <w:t xml:space="preserve">   </w:t>
            </w:r>
            <w:r>
              <w:rPr>
                <w:rFonts w:hint="eastAsia" w:ascii="宋体" w:hAnsi="宋体" w:cs="宋体"/>
                <w:sz w:val="18"/>
                <w:szCs w:val="18"/>
              </w:rPr>
              <w:t>座  □公路</w:t>
            </w:r>
            <w:r>
              <w:rPr>
                <w:rFonts w:hint="eastAsia" w:ascii="宋体" w:hAnsi="宋体" w:cs="宋体"/>
                <w:sz w:val="18"/>
                <w:szCs w:val="18"/>
                <w:u w:val="single"/>
              </w:rPr>
              <w:t xml:space="preserve">   </w:t>
            </w:r>
            <w:r>
              <w:rPr>
                <w:rFonts w:hint="eastAsia" w:ascii="宋体" w:hAnsi="宋体" w:cs="宋体"/>
                <w:sz w:val="18"/>
                <w:szCs w:val="18"/>
              </w:rPr>
              <w:t>m  □铁路</w:t>
            </w:r>
            <w:r>
              <w:rPr>
                <w:rFonts w:hint="eastAsia" w:ascii="宋体" w:hAnsi="宋体" w:cs="宋体"/>
                <w:sz w:val="18"/>
                <w:szCs w:val="18"/>
                <w:u w:val="single"/>
              </w:rPr>
              <w:t xml:space="preserve">   </w:t>
            </w:r>
            <w:r>
              <w:rPr>
                <w:rFonts w:hint="eastAsia" w:ascii="宋体" w:hAnsi="宋体" w:cs="宋体"/>
                <w:sz w:val="18"/>
                <w:szCs w:val="18"/>
              </w:rPr>
              <w:t>m</w:t>
            </w:r>
          </w:p>
          <w:p w14:paraId="3E5F2EEC">
            <w:pPr>
              <w:spacing w:line="240" w:lineRule="auto"/>
              <w:rPr>
                <w:rFonts w:ascii="宋体" w:hAnsi="宋体" w:cs="宋体"/>
                <w:sz w:val="18"/>
                <w:szCs w:val="18"/>
              </w:rPr>
            </w:pPr>
            <w:r>
              <w:rPr>
                <w:rFonts w:hint="eastAsia" w:ascii="宋体" w:hAnsi="宋体" w:cs="宋体"/>
                <w:sz w:val="18"/>
                <w:szCs w:val="18"/>
              </w:rPr>
              <w:t>□水库</w:t>
            </w:r>
            <w:r>
              <w:rPr>
                <w:rFonts w:hint="eastAsia" w:ascii="宋体" w:hAnsi="宋体" w:cs="宋体"/>
                <w:sz w:val="18"/>
                <w:szCs w:val="18"/>
                <w:u w:val="single"/>
              </w:rPr>
              <w:t xml:space="preserve">   </w:t>
            </w:r>
            <w:r>
              <w:rPr>
                <w:rFonts w:hint="eastAsia" w:ascii="宋体" w:hAnsi="宋体" w:cs="宋体"/>
                <w:sz w:val="18"/>
                <w:szCs w:val="18"/>
              </w:rPr>
              <w:t>座  □电站</w:t>
            </w:r>
            <w:r>
              <w:rPr>
                <w:rFonts w:hint="eastAsia" w:ascii="宋体" w:hAnsi="宋体" w:cs="宋体"/>
                <w:sz w:val="18"/>
                <w:szCs w:val="18"/>
                <w:u w:val="single"/>
              </w:rPr>
              <w:t xml:space="preserve">   </w:t>
            </w:r>
            <w:r>
              <w:rPr>
                <w:rFonts w:hint="eastAsia" w:ascii="宋体" w:hAnsi="宋体" w:cs="宋体"/>
                <w:sz w:val="18"/>
                <w:szCs w:val="18"/>
              </w:rPr>
              <w:t>座  □输电线路</w:t>
            </w:r>
            <w:r>
              <w:rPr>
                <w:rFonts w:hint="eastAsia" w:ascii="宋体" w:hAnsi="宋体" w:cs="宋体"/>
                <w:sz w:val="18"/>
                <w:szCs w:val="18"/>
                <w:u w:val="single"/>
              </w:rPr>
              <w:t xml:space="preserve">   </w:t>
            </w:r>
            <w:r>
              <w:rPr>
                <w:rFonts w:hint="eastAsia" w:ascii="宋体" w:hAnsi="宋体" w:cs="宋体"/>
                <w:sz w:val="18"/>
                <w:szCs w:val="18"/>
              </w:rPr>
              <w:t>m  □通讯设施</w:t>
            </w:r>
            <w:r>
              <w:rPr>
                <w:rFonts w:hint="eastAsia" w:ascii="宋体" w:hAnsi="宋体" w:cs="宋体"/>
                <w:sz w:val="18"/>
                <w:szCs w:val="18"/>
                <w:u w:val="single"/>
              </w:rPr>
              <w:t xml:space="preserve">   </w:t>
            </w:r>
            <w:r>
              <w:rPr>
                <w:rFonts w:hint="eastAsia" w:ascii="宋体" w:hAnsi="宋体" w:cs="宋体"/>
                <w:sz w:val="18"/>
                <w:szCs w:val="18"/>
              </w:rPr>
              <w:t>座  □其他：</w:t>
            </w:r>
            <w:r>
              <w:rPr>
                <w:rFonts w:hint="eastAsia" w:ascii="宋体" w:hAnsi="宋体" w:cs="宋体"/>
                <w:sz w:val="18"/>
                <w:szCs w:val="18"/>
                <w:u w:val="single"/>
              </w:rPr>
              <w:t xml:space="preserve">      </w:t>
            </w:r>
          </w:p>
        </w:tc>
      </w:tr>
      <w:tr w14:paraId="5928A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1" w:hRule="atLeast"/>
          <w:jc w:val="center"/>
        </w:trPr>
        <w:tc>
          <w:tcPr>
            <w:tcW w:w="1141" w:type="dxa"/>
            <w:vAlign w:val="center"/>
          </w:tcPr>
          <w:p w14:paraId="3245C04D">
            <w:pPr>
              <w:spacing w:line="240" w:lineRule="auto"/>
              <w:rPr>
                <w:rFonts w:ascii="宋体" w:hAnsi="宋体" w:cs="宋体"/>
                <w:sz w:val="18"/>
                <w:szCs w:val="18"/>
              </w:rPr>
            </w:pPr>
            <w:r>
              <w:rPr>
                <w:rFonts w:hint="eastAsia" w:ascii="宋体" w:hAnsi="宋体" w:cs="宋体"/>
                <w:sz w:val="18"/>
                <w:szCs w:val="18"/>
              </w:rPr>
              <w:t>遥感解译点</w:t>
            </w:r>
          </w:p>
        </w:tc>
        <w:tc>
          <w:tcPr>
            <w:tcW w:w="923" w:type="dxa"/>
            <w:gridSpan w:val="2"/>
            <w:vAlign w:val="center"/>
          </w:tcPr>
          <w:p w14:paraId="38EF1C52">
            <w:pPr>
              <w:spacing w:line="240" w:lineRule="auto"/>
              <w:rPr>
                <w:rFonts w:ascii="宋体" w:hAnsi="宋体" w:cs="宋体"/>
                <w:sz w:val="18"/>
                <w:szCs w:val="18"/>
              </w:rPr>
            </w:pPr>
            <w:r>
              <w:rPr>
                <w:rFonts w:hint="eastAsia" w:ascii="宋体" w:hAnsi="宋体" w:cs="宋体"/>
                <w:sz w:val="18"/>
                <w:szCs w:val="18"/>
              </w:rPr>
              <w:t>□是</w:t>
            </w:r>
          </w:p>
          <w:p w14:paraId="481E412B">
            <w:pPr>
              <w:spacing w:line="240" w:lineRule="auto"/>
              <w:rPr>
                <w:rFonts w:ascii="宋体" w:hAnsi="宋体" w:cs="宋体"/>
                <w:sz w:val="18"/>
                <w:szCs w:val="18"/>
              </w:rPr>
            </w:pPr>
            <w:r>
              <w:rPr>
                <w:rFonts w:hint="eastAsia" w:ascii="宋体" w:hAnsi="宋体" w:cs="宋体"/>
                <w:sz w:val="18"/>
                <w:szCs w:val="18"/>
              </w:rPr>
              <w:t>□否</w:t>
            </w:r>
          </w:p>
        </w:tc>
        <w:tc>
          <w:tcPr>
            <w:tcW w:w="1150" w:type="dxa"/>
            <w:gridSpan w:val="3"/>
            <w:vAlign w:val="center"/>
          </w:tcPr>
          <w:p w14:paraId="4BB6DE1F">
            <w:pPr>
              <w:spacing w:line="240" w:lineRule="auto"/>
              <w:rPr>
                <w:rFonts w:ascii="宋体" w:hAnsi="宋体" w:cs="宋体"/>
                <w:sz w:val="18"/>
                <w:szCs w:val="18"/>
              </w:rPr>
            </w:pPr>
            <w:r>
              <w:rPr>
                <w:rFonts w:hint="eastAsia" w:ascii="宋体" w:hAnsi="宋体" w:cs="宋体"/>
                <w:sz w:val="18"/>
                <w:szCs w:val="18"/>
              </w:rPr>
              <w:t>勘查点</w:t>
            </w:r>
          </w:p>
        </w:tc>
        <w:tc>
          <w:tcPr>
            <w:tcW w:w="1096" w:type="dxa"/>
            <w:gridSpan w:val="2"/>
            <w:vAlign w:val="center"/>
          </w:tcPr>
          <w:p w14:paraId="41741A63">
            <w:pPr>
              <w:spacing w:line="240" w:lineRule="auto"/>
              <w:rPr>
                <w:rFonts w:ascii="宋体" w:hAnsi="宋体" w:cs="宋体"/>
                <w:sz w:val="18"/>
                <w:szCs w:val="18"/>
              </w:rPr>
            </w:pPr>
            <w:r>
              <w:rPr>
                <w:rFonts w:hint="eastAsia" w:ascii="宋体" w:hAnsi="宋体" w:cs="宋体"/>
                <w:sz w:val="18"/>
                <w:szCs w:val="18"/>
              </w:rPr>
              <w:t>□是</w:t>
            </w:r>
          </w:p>
          <w:p w14:paraId="1E251A9D">
            <w:pPr>
              <w:spacing w:line="240" w:lineRule="auto"/>
              <w:rPr>
                <w:rFonts w:ascii="宋体" w:hAnsi="宋体" w:cs="宋体"/>
                <w:sz w:val="18"/>
                <w:szCs w:val="18"/>
              </w:rPr>
            </w:pPr>
            <w:r>
              <w:rPr>
                <w:rFonts w:hint="eastAsia" w:ascii="宋体" w:hAnsi="宋体" w:cs="宋体"/>
                <w:sz w:val="18"/>
                <w:szCs w:val="18"/>
              </w:rPr>
              <w:t>□否</w:t>
            </w:r>
          </w:p>
        </w:tc>
        <w:tc>
          <w:tcPr>
            <w:tcW w:w="1118" w:type="dxa"/>
            <w:gridSpan w:val="3"/>
            <w:vAlign w:val="center"/>
          </w:tcPr>
          <w:p w14:paraId="107AB9ED">
            <w:pPr>
              <w:spacing w:line="240" w:lineRule="auto"/>
              <w:rPr>
                <w:rFonts w:ascii="宋体" w:hAnsi="宋体" w:cs="宋体"/>
                <w:sz w:val="18"/>
                <w:szCs w:val="18"/>
              </w:rPr>
            </w:pPr>
            <w:r>
              <w:rPr>
                <w:rFonts w:hint="eastAsia" w:ascii="宋体" w:hAnsi="宋体" w:cs="宋体"/>
                <w:sz w:val="18"/>
                <w:szCs w:val="18"/>
              </w:rPr>
              <w:t>测绘点</w:t>
            </w:r>
          </w:p>
        </w:tc>
        <w:tc>
          <w:tcPr>
            <w:tcW w:w="1053" w:type="dxa"/>
            <w:gridSpan w:val="4"/>
            <w:vAlign w:val="center"/>
          </w:tcPr>
          <w:p w14:paraId="4F3B781D">
            <w:pPr>
              <w:spacing w:line="240" w:lineRule="auto"/>
              <w:rPr>
                <w:rFonts w:ascii="宋体" w:hAnsi="宋体" w:cs="宋体"/>
                <w:sz w:val="18"/>
                <w:szCs w:val="18"/>
              </w:rPr>
            </w:pPr>
            <w:r>
              <w:rPr>
                <w:rFonts w:hint="eastAsia" w:ascii="宋体" w:hAnsi="宋体" w:cs="宋体"/>
                <w:sz w:val="18"/>
                <w:szCs w:val="18"/>
              </w:rPr>
              <w:t>□是</w:t>
            </w:r>
          </w:p>
          <w:p w14:paraId="377BC129">
            <w:pPr>
              <w:spacing w:line="240" w:lineRule="auto"/>
              <w:rPr>
                <w:rFonts w:ascii="宋体" w:hAnsi="宋体" w:cs="宋体"/>
                <w:sz w:val="18"/>
                <w:szCs w:val="18"/>
              </w:rPr>
            </w:pPr>
            <w:r>
              <w:rPr>
                <w:rFonts w:hint="eastAsia" w:ascii="宋体" w:hAnsi="宋体" w:cs="宋体"/>
                <w:sz w:val="18"/>
                <w:szCs w:val="18"/>
              </w:rPr>
              <w:t>□否</w:t>
            </w:r>
          </w:p>
        </w:tc>
        <w:tc>
          <w:tcPr>
            <w:tcW w:w="1408" w:type="dxa"/>
            <w:gridSpan w:val="3"/>
            <w:vAlign w:val="center"/>
          </w:tcPr>
          <w:p w14:paraId="21AE0675">
            <w:pPr>
              <w:spacing w:line="240" w:lineRule="auto"/>
              <w:rPr>
                <w:rFonts w:ascii="宋体" w:hAnsi="宋体" w:cs="宋体"/>
                <w:sz w:val="18"/>
                <w:szCs w:val="18"/>
              </w:rPr>
            </w:pPr>
            <w:r>
              <w:rPr>
                <w:rFonts w:hint="eastAsia" w:ascii="宋体" w:hAnsi="宋体" w:cs="宋体"/>
                <w:sz w:val="18"/>
                <w:szCs w:val="18"/>
              </w:rPr>
              <w:t>防灾预案/群测群防点</w:t>
            </w:r>
          </w:p>
        </w:tc>
        <w:tc>
          <w:tcPr>
            <w:tcW w:w="1678" w:type="dxa"/>
            <w:gridSpan w:val="2"/>
            <w:vAlign w:val="center"/>
          </w:tcPr>
          <w:p w14:paraId="2C3A71B3">
            <w:pPr>
              <w:spacing w:line="240" w:lineRule="auto"/>
              <w:rPr>
                <w:rFonts w:ascii="宋体" w:hAnsi="宋体" w:cs="宋体"/>
                <w:sz w:val="18"/>
                <w:szCs w:val="18"/>
              </w:rPr>
            </w:pPr>
            <w:r>
              <w:rPr>
                <w:rFonts w:hint="eastAsia" w:ascii="宋体" w:hAnsi="宋体" w:cs="宋体"/>
                <w:sz w:val="18"/>
                <w:szCs w:val="18"/>
              </w:rPr>
              <w:t>□是  □否</w:t>
            </w:r>
          </w:p>
        </w:tc>
      </w:tr>
      <w:tr w14:paraId="2C3F7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4" w:hRule="atLeast"/>
          <w:jc w:val="center"/>
        </w:trPr>
        <w:tc>
          <w:tcPr>
            <w:tcW w:w="1428" w:type="dxa"/>
            <w:gridSpan w:val="2"/>
            <w:vAlign w:val="center"/>
          </w:tcPr>
          <w:p w14:paraId="0789ACB1">
            <w:pPr>
              <w:spacing w:line="240" w:lineRule="auto"/>
              <w:rPr>
                <w:rFonts w:ascii="宋体" w:hAnsi="宋体" w:cs="宋体"/>
                <w:sz w:val="18"/>
                <w:szCs w:val="18"/>
              </w:rPr>
            </w:pPr>
            <w:r>
              <w:rPr>
                <w:rFonts w:hint="eastAsia" w:ascii="宋体" w:hAnsi="宋体" w:cs="宋体"/>
                <w:sz w:val="18"/>
                <w:szCs w:val="18"/>
              </w:rPr>
              <w:t>风险定性判断</w:t>
            </w:r>
          </w:p>
        </w:tc>
        <w:tc>
          <w:tcPr>
            <w:tcW w:w="8139" w:type="dxa"/>
            <w:gridSpan w:val="18"/>
            <w:vAlign w:val="center"/>
          </w:tcPr>
          <w:p w14:paraId="47B2AA63">
            <w:pPr>
              <w:spacing w:line="240" w:lineRule="auto"/>
              <w:rPr>
                <w:rFonts w:ascii="宋体" w:hAnsi="宋体" w:cs="宋体"/>
                <w:sz w:val="18"/>
                <w:szCs w:val="18"/>
              </w:rPr>
            </w:pPr>
            <w:r>
              <w:rPr>
                <w:rFonts w:hint="eastAsia" w:ascii="宋体" w:hAnsi="宋体" w:cs="宋体"/>
                <w:sz w:val="18"/>
                <w:szCs w:val="18"/>
              </w:rPr>
              <w:t xml:space="preserve">□极高  □高  □中  □低  </w:t>
            </w:r>
          </w:p>
        </w:tc>
      </w:tr>
    </w:tbl>
    <w:p w14:paraId="75124A61">
      <w:pPr>
        <w:pStyle w:val="58"/>
        <w:pageBreakBefore/>
        <w:spacing w:before="156" w:beforeLines="50" w:after="156" w:afterLines="50"/>
        <w:ind w:firstLine="0" w:firstLineChars="0"/>
        <w:jc w:val="center"/>
      </w:pPr>
      <w:r>
        <w:rPr>
          <w:rFonts w:hint="eastAsia" w:ascii="黑体" w:hAnsi="黑体" w:eastAsia="黑体"/>
        </w:rPr>
        <w:t>表C</w:t>
      </w:r>
      <w:r>
        <w:rPr>
          <w:rFonts w:ascii="黑体" w:hAnsi="黑体" w:eastAsia="黑体"/>
        </w:rPr>
        <w:t>.7</w:t>
      </w:r>
      <w:r>
        <w:rPr>
          <w:rFonts w:hint="eastAsia" w:ascii="黑体" w:eastAsia="黑体"/>
          <w:kern w:val="21"/>
        </w:rPr>
        <w:t>地面塌陷及隐患调查记录表</w:t>
      </w:r>
      <w:r>
        <w:rPr>
          <w:rFonts w:hint="eastAsia" w:ascii="黑体" w:hAnsi="黑体" w:eastAsia="黑体"/>
        </w:rPr>
        <w:t>（续）</w:t>
      </w:r>
    </w:p>
    <w:tbl>
      <w:tblPr>
        <w:tblStyle w:val="28"/>
        <w:tblW w:w="94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669"/>
      </w:tblGrid>
      <w:tr w14:paraId="7C342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16" w:hRule="atLeast"/>
          <w:jc w:val="center"/>
        </w:trPr>
        <w:tc>
          <w:tcPr>
            <w:tcW w:w="810" w:type="dxa"/>
            <w:vMerge w:val="restart"/>
            <w:vAlign w:val="center"/>
          </w:tcPr>
          <w:p w14:paraId="59BC6D03">
            <w:pPr>
              <w:spacing w:line="240" w:lineRule="auto"/>
              <w:rPr>
                <w:rFonts w:ascii="Times New Roman" w:hAnsi="Times New Roman"/>
                <w:sz w:val="18"/>
                <w:szCs w:val="18"/>
              </w:rPr>
            </w:pPr>
            <w:r>
              <w:rPr>
                <w:rFonts w:ascii="Times New Roman" w:hAnsi="Times New Roman"/>
                <w:sz w:val="18"/>
                <w:szCs w:val="18"/>
              </w:rPr>
              <w:t>塌陷或地表变形基本特征</w:t>
            </w:r>
          </w:p>
        </w:tc>
        <w:tc>
          <w:tcPr>
            <w:tcW w:w="8669" w:type="dxa"/>
          </w:tcPr>
          <w:p w14:paraId="2CAEFD02">
            <w:pPr>
              <w:spacing w:line="240" w:lineRule="auto"/>
              <w:rPr>
                <w:rFonts w:ascii="Times New Roman" w:hAnsi="Times New Roman"/>
                <w:sz w:val="18"/>
                <w:szCs w:val="18"/>
              </w:rPr>
            </w:pPr>
            <w:r>
              <w:rPr>
                <w:rFonts w:ascii="Times New Roman" w:hAnsi="Times New Roman"/>
                <w:sz w:val="18"/>
                <w:szCs w:val="18"/>
              </w:rPr>
              <w:t>塌陷坑或变形特征：对于岩溶塌陷和其他塌陷类型，描述塌陷坑、群、伴生裂缝的几何特征、产状，性质、空间展布特征、规模，变形迹象及变形历史等。对于采空区：描述包括地表陷坑、台阶、裂缝等的位置、形状、大小、深度、延伸方向及其与采空区、地质构造、开采边界、工作面推进方向等的关系</w:t>
            </w:r>
          </w:p>
          <w:p w14:paraId="502D054D">
            <w:pPr>
              <w:spacing w:line="240" w:lineRule="auto"/>
              <w:rPr>
                <w:rFonts w:ascii="Times New Roman" w:hAnsi="Times New Roman"/>
                <w:sz w:val="18"/>
                <w:szCs w:val="18"/>
              </w:rPr>
            </w:pPr>
          </w:p>
          <w:p w14:paraId="6A313110">
            <w:pPr>
              <w:spacing w:line="240" w:lineRule="auto"/>
              <w:rPr>
                <w:rFonts w:ascii="Times New Roman" w:hAnsi="Times New Roman"/>
                <w:sz w:val="18"/>
                <w:szCs w:val="18"/>
              </w:rPr>
            </w:pPr>
          </w:p>
        </w:tc>
      </w:tr>
      <w:tr w14:paraId="1D224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15" w:hRule="atLeast"/>
          <w:jc w:val="center"/>
        </w:trPr>
        <w:tc>
          <w:tcPr>
            <w:tcW w:w="810" w:type="dxa"/>
            <w:vMerge w:val="continue"/>
          </w:tcPr>
          <w:p w14:paraId="77E3E5A6">
            <w:pPr>
              <w:spacing w:line="240" w:lineRule="auto"/>
              <w:rPr>
                <w:rFonts w:ascii="Times New Roman" w:hAnsi="Times New Roman"/>
                <w:sz w:val="18"/>
                <w:szCs w:val="18"/>
              </w:rPr>
            </w:pPr>
          </w:p>
        </w:tc>
        <w:tc>
          <w:tcPr>
            <w:tcW w:w="8669" w:type="dxa"/>
          </w:tcPr>
          <w:p w14:paraId="7CEE1999">
            <w:pPr>
              <w:spacing w:line="240" w:lineRule="auto"/>
              <w:rPr>
                <w:rFonts w:ascii="Times New Roman" w:hAnsi="Times New Roman"/>
                <w:sz w:val="18"/>
                <w:szCs w:val="18"/>
              </w:rPr>
            </w:pPr>
            <w:r>
              <w:rPr>
                <w:rFonts w:ascii="Times New Roman" w:hAnsi="Times New Roman"/>
                <w:sz w:val="18"/>
                <w:szCs w:val="18"/>
              </w:rPr>
              <w:t>塌陷影响区特征：地表塌陷或地表移动盆地的特征，划分中间区、内边缘和外边缘区，确定地表移动和变形的特征值；分析建筑物变形情况、塌陷坑的处理措施等。</w:t>
            </w:r>
          </w:p>
          <w:p w14:paraId="5558EC01">
            <w:pPr>
              <w:spacing w:line="240" w:lineRule="auto"/>
              <w:rPr>
                <w:rFonts w:ascii="Times New Roman" w:hAnsi="Times New Roman"/>
                <w:sz w:val="18"/>
                <w:szCs w:val="18"/>
              </w:rPr>
            </w:pPr>
          </w:p>
          <w:p w14:paraId="4F62D215">
            <w:pPr>
              <w:spacing w:line="240" w:lineRule="auto"/>
              <w:rPr>
                <w:rFonts w:ascii="Times New Roman" w:hAnsi="Times New Roman"/>
                <w:sz w:val="18"/>
                <w:szCs w:val="18"/>
              </w:rPr>
            </w:pPr>
          </w:p>
        </w:tc>
      </w:tr>
      <w:tr w14:paraId="11F6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16" w:hRule="atLeast"/>
          <w:jc w:val="center"/>
        </w:trPr>
        <w:tc>
          <w:tcPr>
            <w:tcW w:w="810" w:type="dxa"/>
          </w:tcPr>
          <w:p w14:paraId="46697DC7">
            <w:pPr>
              <w:spacing w:line="240" w:lineRule="auto"/>
              <w:rPr>
                <w:rFonts w:ascii="Times New Roman" w:hAnsi="Times New Roman"/>
                <w:sz w:val="18"/>
                <w:szCs w:val="18"/>
              </w:rPr>
            </w:pPr>
            <w:r>
              <w:rPr>
                <w:rFonts w:ascii="Times New Roman" w:hAnsi="Times New Roman"/>
                <w:sz w:val="18"/>
                <w:szCs w:val="18"/>
              </w:rPr>
              <w:t>危险性分析</w:t>
            </w:r>
          </w:p>
        </w:tc>
        <w:tc>
          <w:tcPr>
            <w:tcW w:w="8669" w:type="dxa"/>
          </w:tcPr>
          <w:p w14:paraId="580B03D3">
            <w:pPr>
              <w:spacing w:line="240" w:lineRule="auto"/>
              <w:rPr>
                <w:rFonts w:ascii="Times New Roman" w:hAnsi="Times New Roman"/>
                <w:sz w:val="18"/>
                <w:szCs w:val="18"/>
              </w:rPr>
            </w:pPr>
            <w:r>
              <w:rPr>
                <w:rFonts w:ascii="Times New Roman" w:hAnsi="Times New Roman"/>
                <w:sz w:val="18"/>
                <w:szCs w:val="18"/>
              </w:rPr>
              <w:t>在不同降雨、地震、干旱或人类工程经济活动情况下特定规模塌陷发生的可能性分析。</w:t>
            </w:r>
          </w:p>
          <w:p w14:paraId="399E88E6">
            <w:pPr>
              <w:spacing w:line="240" w:lineRule="auto"/>
              <w:rPr>
                <w:rFonts w:ascii="Times New Roman" w:hAnsi="Times New Roman"/>
                <w:sz w:val="18"/>
                <w:szCs w:val="18"/>
              </w:rPr>
            </w:pPr>
          </w:p>
        </w:tc>
      </w:tr>
      <w:tr w14:paraId="2DF91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8" w:hRule="atLeast"/>
          <w:jc w:val="center"/>
        </w:trPr>
        <w:tc>
          <w:tcPr>
            <w:tcW w:w="810" w:type="dxa"/>
            <w:tcBorders>
              <w:bottom w:val="single" w:color="auto" w:sz="4" w:space="0"/>
            </w:tcBorders>
            <w:vAlign w:val="center"/>
          </w:tcPr>
          <w:p w14:paraId="4010D66D">
            <w:pPr>
              <w:spacing w:line="240" w:lineRule="auto"/>
              <w:rPr>
                <w:rFonts w:ascii="Times New Roman" w:hAnsi="Times New Roman"/>
                <w:sz w:val="18"/>
                <w:szCs w:val="18"/>
              </w:rPr>
            </w:pPr>
            <w:r>
              <w:rPr>
                <w:rFonts w:ascii="Times New Roman" w:hAnsi="Times New Roman"/>
                <w:sz w:val="18"/>
                <w:szCs w:val="18"/>
              </w:rPr>
              <w:t>危害程度</w:t>
            </w:r>
          </w:p>
        </w:tc>
        <w:tc>
          <w:tcPr>
            <w:tcW w:w="8669" w:type="dxa"/>
            <w:tcBorders>
              <w:bottom w:val="single" w:color="auto" w:sz="4" w:space="0"/>
            </w:tcBorders>
          </w:tcPr>
          <w:p w14:paraId="60FEE737">
            <w:pPr>
              <w:spacing w:line="240" w:lineRule="auto"/>
              <w:rPr>
                <w:rFonts w:ascii="Times New Roman" w:hAnsi="Times New Roman"/>
                <w:sz w:val="18"/>
                <w:szCs w:val="18"/>
              </w:rPr>
            </w:pPr>
            <w:r>
              <w:rPr>
                <w:rFonts w:ascii="Times New Roman" w:hAnsi="Times New Roman"/>
                <w:sz w:val="18"/>
                <w:szCs w:val="18"/>
              </w:rPr>
              <w:t xml:space="preserve">地面塌陷导致人员伤亡、财产损失、地表水源枯竭、井巷突水、淹没等危害的历史记录；在塌陷影响范围内的人员、财产、设施等的可能损失及成灾模式分析，导致地表水源枯竭、地下水疏干、井巷突水等事故的可能性。 </w:t>
            </w:r>
          </w:p>
        </w:tc>
      </w:tr>
      <w:tr w14:paraId="4C0A2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16" w:hRule="atLeast"/>
          <w:jc w:val="center"/>
        </w:trPr>
        <w:tc>
          <w:tcPr>
            <w:tcW w:w="810" w:type="dxa"/>
            <w:vAlign w:val="center"/>
          </w:tcPr>
          <w:p w14:paraId="490454E3">
            <w:pPr>
              <w:spacing w:line="240" w:lineRule="auto"/>
              <w:rPr>
                <w:rFonts w:ascii="Times New Roman" w:hAnsi="Times New Roman"/>
                <w:sz w:val="18"/>
                <w:szCs w:val="18"/>
              </w:rPr>
            </w:pPr>
            <w:r>
              <w:rPr>
                <w:rFonts w:ascii="Times New Roman" w:hAnsi="Times New Roman"/>
                <w:sz w:val="18"/>
                <w:szCs w:val="18"/>
              </w:rPr>
              <w:t>平</w:t>
            </w:r>
          </w:p>
          <w:p w14:paraId="46395DF5">
            <w:pPr>
              <w:spacing w:line="240" w:lineRule="auto"/>
              <w:rPr>
                <w:rFonts w:ascii="Times New Roman" w:hAnsi="Times New Roman"/>
                <w:sz w:val="18"/>
                <w:szCs w:val="18"/>
              </w:rPr>
            </w:pPr>
            <w:r>
              <w:rPr>
                <w:rFonts w:ascii="Times New Roman" w:hAnsi="Times New Roman"/>
                <w:sz w:val="18"/>
                <w:szCs w:val="18"/>
              </w:rPr>
              <w:t>面</w:t>
            </w:r>
          </w:p>
          <w:p w14:paraId="21D66383">
            <w:pPr>
              <w:spacing w:line="240" w:lineRule="auto"/>
              <w:rPr>
                <w:rFonts w:ascii="Times New Roman" w:hAnsi="Times New Roman"/>
                <w:sz w:val="18"/>
                <w:szCs w:val="18"/>
              </w:rPr>
            </w:pPr>
            <w:r>
              <w:rPr>
                <w:rFonts w:ascii="Times New Roman" w:hAnsi="Times New Roman"/>
                <w:sz w:val="18"/>
                <w:szCs w:val="18"/>
              </w:rPr>
              <w:t>图</w:t>
            </w:r>
          </w:p>
        </w:tc>
        <w:tc>
          <w:tcPr>
            <w:tcW w:w="8669" w:type="dxa"/>
          </w:tcPr>
          <w:p w14:paraId="38B45475">
            <w:pPr>
              <w:spacing w:line="240" w:lineRule="auto"/>
              <w:jc w:val="center"/>
              <w:rPr>
                <w:rFonts w:ascii="Times New Roman" w:hAnsi="Times New Roman"/>
                <w:sz w:val="18"/>
                <w:szCs w:val="18"/>
              </w:rPr>
            </w:pPr>
          </w:p>
          <w:p w14:paraId="7918EB5C">
            <w:pPr>
              <w:spacing w:line="240" w:lineRule="auto"/>
              <w:rPr>
                <w:rFonts w:ascii="Times New Roman" w:hAnsi="Times New Roman"/>
                <w:sz w:val="18"/>
                <w:szCs w:val="18"/>
              </w:rPr>
            </w:pPr>
          </w:p>
        </w:tc>
      </w:tr>
    </w:tbl>
    <w:p w14:paraId="3C8616B8">
      <w:pPr>
        <w:pStyle w:val="58"/>
        <w:ind w:firstLine="360"/>
      </w:pPr>
      <w:bookmarkStart w:id="301" w:name="_Hlk168089387"/>
      <w:r>
        <w:rPr>
          <w:rFonts w:ascii="Times New Roman"/>
          <w:sz w:val="18"/>
          <w:szCs w:val="18"/>
        </w:rPr>
        <w:t>记    录：            校    核：           项目负责：             填表日期：      年     月     日</w:t>
      </w:r>
      <w:bookmarkEnd w:id="301"/>
    </w:p>
    <w:p w14:paraId="1D9CA08E">
      <w:pPr>
        <w:pStyle w:val="58"/>
        <w:ind w:firstLine="420"/>
      </w:pPr>
    </w:p>
    <w:p w14:paraId="27DF1A62">
      <w:pPr>
        <w:pStyle w:val="79"/>
        <w:spacing w:before="156" w:after="156"/>
      </w:pPr>
      <w:r>
        <w:rPr>
          <w:rFonts w:hint="eastAsia"/>
        </w:rPr>
        <w:t>地面沉降调查记录表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932"/>
        <w:gridCol w:w="700"/>
        <w:gridCol w:w="700"/>
        <w:gridCol w:w="700"/>
        <w:gridCol w:w="218"/>
        <w:gridCol w:w="482"/>
        <w:gridCol w:w="369"/>
        <w:gridCol w:w="425"/>
        <w:gridCol w:w="851"/>
        <w:gridCol w:w="142"/>
        <w:gridCol w:w="708"/>
        <w:gridCol w:w="142"/>
        <w:gridCol w:w="709"/>
        <w:gridCol w:w="388"/>
        <w:gridCol w:w="467"/>
        <w:gridCol w:w="467"/>
        <w:gridCol w:w="233"/>
        <w:gridCol w:w="701"/>
      </w:tblGrid>
      <w:tr w14:paraId="739FFA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13" w:hRule="atLeast"/>
          <w:tblHeader/>
          <w:jc w:val="center"/>
        </w:trPr>
        <w:tc>
          <w:tcPr>
            <w:tcW w:w="932" w:type="dxa"/>
            <w:tcBorders>
              <w:top w:val="single" w:color="auto" w:sz="8" w:space="0"/>
              <w:bottom w:val="single" w:color="auto" w:sz="8" w:space="0"/>
            </w:tcBorders>
            <w:shd w:val="clear" w:color="auto" w:fill="auto"/>
            <w:vAlign w:val="center"/>
          </w:tcPr>
          <w:p w14:paraId="7880534A">
            <w:pPr>
              <w:pStyle w:val="180"/>
            </w:pPr>
            <w:r>
              <w:rPr>
                <w:rFonts w:hint="eastAsia"/>
              </w:rPr>
              <w:t>名称</w:t>
            </w:r>
          </w:p>
        </w:tc>
        <w:tc>
          <w:tcPr>
            <w:tcW w:w="2318" w:type="dxa"/>
            <w:gridSpan w:val="4"/>
            <w:tcBorders>
              <w:top w:val="single" w:color="auto" w:sz="8" w:space="0"/>
              <w:bottom w:val="single" w:color="auto" w:sz="8" w:space="0"/>
            </w:tcBorders>
            <w:shd w:val="clear" w:color="auto" w:fill="auto"/>
            <w:vAlign w:val="center"/>
          </w:tcPr>
          <w:p w14:paraId="6E0837A4">
            <w:pPr>
              <w:pStyle w:val="180"/>
            </w:pPr>
          </w:p>
        </w:tc>
        <w:tc>
          <w:tcPr>
            <w:tcW w:w="851" w:type="dxa"/>
            <w:gridSpan w:val="2"/>
            <w:vMerge w:val="restart"/>
            <w:tcBorders>
              <w:top w:val="single" w:color="auto" w:sz="8" w:space="0"/>
            </w:tcBorders>
            <w:shd w:val="clear" w:color="auto" w:fill="auto"/>
            <w:vAlign w:val="center"/>
          </w:tcPr>
          <w:p w14:paraId="4C4B6EDC">
            <w:pPr>
              <w:pStyle w:val="180"/>
            </w:pPr>
            <w:r>
              <w:rPr>
                <w:rFonts w:hint="eastAsia"/>
              </w:rPr>
              <w:t>地理位置</w:t>
            </w:r>
          </w:p>
        </w:tc>
        <w:tc>
          <w:tcPr>
            <w:tcW w:w="5233" w:type="dxa"/>
            <w:gridSpan w:val="11"/>
            <w:tcBorders>
              <w:top w:val="single" w:color="auto" w:sz="8" w:space="0"/>
              <w:bottom w:val="single" w:color="auto" w:sz="8" w:space="0"/>
            </w:tcBorders>
            <w:shd w:val="clear" w:color="auto" w:fill="auto"/>
            <w:vAlign w:val="center"/>
          </w:tcPr>
          <w:p w14:paraId="04E8D780">
            <w:pPr>
              <w:pStyle w:val="180"/>
              <w:jc w:val="right"/>
            </w:pPr>
            <w:r>
              <w:rPr>
                <w:rFonts w:ascii="Times New Roman"/>
                <w:szCs w:val="18"/>
              </w:rPr>
              <w:t xml:space="preserve">省   </w:t>
            </w:r>
            <w:r>
              <w:rPr>
                <w:rFonts w:hint="eastAsia" w:ascii="Times New Roman"/>
                <w:szCs w:val="18"/>
              </w:rPr>
              <w:t xml:space="preserve"> </w:t>
            </w:r>
            <w:r>
              <w:rPr>
                <w:rFonts w:ascii="Times New Roman"/>
                <w:szCs w:val="18"/>
              </w:rPr>
              <w:t xml:space="preserve"> 市     县（市、区）    乡     村    组</w:t>
            </w:r>
          </w:p>
        </w:tc>
      </w:tr>
      <w:tr w14:paraId="37F86C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05" w:hRule="atLeast"/>
          <w:jc w:val="center"/>
        </w:trPr>
        <w:tc>
          <w:tcPr>
            <w:tcW w:w="932" w:type="dxa"/>
            <w:tcBorders>
              <w:top w:val="single" w:color="auto" w:sz="8" w:space="0"/>
            </w:tcBorders>
            <w:shd w:val="clear" w:color="auto" w:fill="auto"/>
            <w:vAlign w:val="center"/>
          </w:tcPr>
          <w:p w14:paraId="5B543904">
            <w:pPr>
              <w:pStyle w:val="180"/>
            </w:pPr>
            <w:r>
              <w:rPr>
                <w:rFonts w:hint="eastAsia"/>
              </w:rPr>
              <w:t>统一编号</w:t>
            </w:r>
          </w:p>
        </w:tc>
        <w:tc>
          <w:tcPr>
            <w:tcW w:w="2318" w:type="dxa"/>
            <w:gridSpan w:val="4"/>
            <w:tcBorders>
              <w:top w:val="single" w:color="auto" w:sz="8" w:space="0"/>
            </w:tcBorders>
            <w:shd w:val="clear" w:color="auto" w:fill="auto"/>
            <w:vAlign w:val="center"/>
          </w:tcPr>
          <w:p w14:paraId="491C4510">
            <w:pPr>
              <w:pStyle w:val="180"/>
            </w:pPr>
          </w:p>
        </w:tc>
        <w:tc>
          <w:tcPr>
            <w:tcW w:w="851" w:type="dxa"/>
            <w:gridSpan w:val="2"/>
            <w:vMerge w:val="continue"/>
            <w:shd w:val="clear" w:color="auto" w:fill="auto"/>
            <w:vAlign w:val="center"/>
          </w:tcPr>
          <w:p w14:paraId="5C926541">
            <w:pPr>
              <w:pStyle w:val="180"/>
            </w:pPr>
          </w:p>
        </w:tc>
        <w:tc>
          <w:tcPr>
            <w:tcW w:w="1418" w:type="dxa"/>
            <w:gridSpan w:val="3"/>
            <w:vMerge w:val="restart"/>
            <w:tcBorders>
              <w:top w:val="single" w:color="auto" w:sz="8" w:space="0"/>
            </w:tcBorders>
            <w:shd w:val="clear" w:color="auto" w:fill="auto"/>
            <w:vAlign w:val="center"/>
          </w:tcPr>
          <w:p w14:paraId="774364C6">
            <w:pPr>
              <w:pStyle w:val="180"/>
            </w:pPr>
            <w:r>
              <w:rPr>
                <w:rFonts w:hint="eastAsia"/>
              </w:rPr>
              <w:t>坐标</w:t>
            </w:r>
          </w:p>
        </w:tc>
        <w:tc>
          <w:tcPr>
            <w:tcW w:w="708" w:type="dxa"/>
            <w:tcBorders>
              <w:top w:val="single" w:color="auto" w:sz="8" w:space="0"/>
            </w:tcBorders>
            <w:shd w:val="clear" w:color="auto" w:fill="auto"/>
            <w:vAlign w:val="center"/>
          </w:tcPr>
          <w:p w14:paraId="6F7DEAED">
            <w:pPr>
              <w:pStyle w:val="180"/>
              <w:jc w:val="both"/>
            </w:pPr>
            <w:r>
              <w:rPr>
                <w:rFonts w:hint="eastAsia"/>
              </w:rPr>
              <w:t>经度：</w:t>
            </w:r>
          </w:p>
        </w:tc>
        <w:tc>
          <w:tcPr>
            <w:tcW w:w="1239" w:type="dxa"/>
            <w:gridSpan w:val="3"/>
            <w:tcBorders>
              <w:top w:val="single" w:color="auto" w:sz="8" w:space="0"/>
            </w:tcBorders>
            <w:shd w:val="clear" w:color="auto" w:fill="auto"/>
            <w:vAlign w:val="center"/>
          </w:tcPr>
          <w:p w14:paraId="4CAA6E9F">
            <w:pPr>
              <w:pStyle w:val="180"/>
              <w:jc w:val="both"/>
            </w:pPr>
            <w:r>
              <w:rPr>
                <w:rFonts w:hint="eastAsia"/>
              </w:rPr>
              <w:t>X：</w:t>
            </w:r>
          </w:p>
        </w:tc>
        <w:tc>
          <w:tcPr>
            <w:tcW w:w="934" w:type="dxa"/>
            <w:gridSpan w:val="2"/>
            <w:vMerge w:val="restart"/>
            <w:tcBorders>
              <w:top w:val="single" w:color="auto" w:sz="8" w:space="0"/>
            </w:tcBorders>
            <w:shd w:val="clear" w:color="auto" w:fill="auto"/>
            <w:vAlign w:val="center"/>
          </w:tcPr>
          <w:p w14:paraId="4162B296">
            <w:pPr>
              <w:pStyle w:val="180"/>
            </w:pPr>
            <w:r>
              <w:rPr>
                <w:rFonts w:hint="eastAsia"/>
              </w:rPr>
              <w:t>标高</w:t>
            </w:r>
          </w:p>
        </w:tc>
        <w:tc>
          <w:tcPr>
            <w:tcW w:w="934" w:type="dxa"/>
            <w:gridSpan w:val="2"/>
            <w:vMerge w:val="restart"/>
            <w:tcBorders>
              <w:top w:val="single" w:color="auto" w:sz="8" w:space="0"/>
            </w:tcBorders>
            <w:shd w:val="clear" w:color="auto" w:fill="auto"/>
            <w:vAlign w:val="center"/>
          </w:tcPr>
          <w:p w14:paraId="026A02C2">
            <w:pPr>
              <w:pStyle w:val="180"/>
              <w:ind w:right="180"/>
              <w:jc w:val="right"/>
            </w:pPr>
            <w:r>
              <w:rPr>
                <w:rFonts w:hint="eastAsia"/>
              </w:rPr>
              <w:t>m</w:t>
            </w:r>
          </w:p>
        </w:tc>
      </w:tr>
      <w:tr w14:paraId="48A12D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06" w:hRule="atLeast"/>
          <w:jc w:val="center"/>
        </w:trPr>
        <w:tc>
          <w:tcPr>
            <w:tcW w:w="932" w:type="dxa"/>
            <w:shd w:val="clear" w:color="auto" w:fill="auto"/>
            <w:vAlign w:val="center"/>
          </w:tcPr>
          <w:p w14:paraId="5077662A">
            <w:pPr>
              <w:pStyle w:val="180"/>
            </w:pPr>
            <w:r>
              <w:rPr>
                <w:rFonts w:hint="eastAsia"/>
              </w:rPr>
              <w:t>野外编号</w:t>
            </w:r>
          </w:p>
        </w:tc>
        <w:tc>
          <w:tcPr>
            <w:tcW w:w="2318" w:type="dxa"/>
            <w:gridSpan w:val="4"/>
            <w:shd w:val="clear" w:color="auto" w:fill="auto"/>
            <w:vAlign w:val="center"/>
          </w:tcPr>
          <w:p w14:paraId="0F972E3B">
            <w:pPr>
              <w:pStyle w:val="180"/>
            </w:pPr>
          </w:p>
        </w:tc>
        <w:tc>
          <w:tcPr>
            <w:tcW w:w="851" w:type="dxa"/>
            <w:gridSpan w:val="2"/>
            <w:vMerge w:val="continue"/>
            <w:shd w:val="clear" w:color="auto" w:fill="auto"/>
            <w:vAlign w:val="center"/>
          </w:tcPr>
          <w:p w14:paraId="35D54029">
            <w:pPr>
              <w:pStyle w:val="180"/>
            </w:pPr>
          </w:p>
        </w:tc>
        <w:tc>
          <w:tcPr>
            <w:tcW w:w="1418" w:type="dxa"/>
            <w:gridSpan w:val="3"/>
            <w:vMerge w:val="continue"/>
            <w:shd w:val="clear" w:color="auto" w:fill="auto"/>
            <w:vAlign w:val="center"/>
          </w:tcPr>
          <w:p w14:paraId="510B3D9C">
            <w:pPr>
              <w:pStyle w:val="180"/>
            </w:pPr>
          </w:p>
        </w:tc>
        <w:tc>
          <w:tcPr>
            <w:tcW w:w="708" w:type="dxa"/>
            <w:shd w:val="clear" w:color="auto" w:fill="auto"/>
            <w:vAlign w:val="center"/>
          </w:tcPr>
          <w:p w14:paraId="374765E9">
            <w:pPr>
              <w:pStyle w:val="180"/>
              <w:jc w:val="both"/>
            </w:pPr>
            <w:r>
              <w:rPr>
                <w:rFonts w:hint="eastAsia"/>
              </w:rPr>
              <w:t>维度：</w:t>
            </w:r>
          </w:p>
        </w:tc>
        <w:tc>
          <w:tcPr>
            <w:tcW w:w="1239" w:type="dxa"/>
            <w:gridSpan w:val="3"/>
            <w:shd w:val="clear" w:color="auto" w:fill="auto"/>
            <w:vAlign w:val="center"/>
          </w:tcPr>
          <w:p w14:paraId="491D661F">
            <w:pPr>
              <w:pStyle w:val="180"/>
              <w:jc w:val="both"/>
            </w:pPr>
            <w:r>
              <w:rPr>
                <w:rFonts w:hint="eastAsia"/>
              </w:rPr>
              <w:t>Y</w:t>
            </w:r>
            <w:r>
              <w:t>:</w:t>
            </w:r>
          </w:p>
        </w:tc>
        <w:tc>
          <w:tcPr>
            <w:tcW w:w="934" w:type="dxa"/>
            <w:gridSpan w:val="2"/>
            <w:vMerge w:val="continue"/>
            <w:shd w:val="clear" w:color="auto" w:fill="auto"/>
            <w:vAlign w:val="center"/>
          </w:tcPr>
          <w:p w14:paraId="07E3A23C">
            <w:pPr>
              <w:pStyle w:val="180"/>
            </w:pPr>
          </w:p>
        </w:tc>
        <w:tc>
          <w:tcPr>
            <w:tcW w:w="934" w:type="dxa"/>
            <w:gridSpan w:val="2"/>
            <w:vMerge w:val="continue"/>
            <w:shd w:val="clear" w:color="auto" w:fill="auto"/>
            <w:vAlign w:val="center"/>
          </w:tcPr>
          <w:p w14:paraId="42D38BA6">
            <w:pPr>
              <w:pStyle w:val="180"/>
            </w:pPr>
          </w:p>
        </w:tc>
      </w:tr>
      <w:tr w14:paraId="08F661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9" w:hRule="atLeast"/>
          <w:jc w:val="center"/>
        </w:trPr>
        <w:tc>
          <w:tcPr>
            <w:tcW w:w="3250" w:type="dxa"/>
            <w:gridSpan w:val="5"/>
            <w:shd w:val="clear" w:color="auto" w:fill="auto"/>
            <w:vAlign w:val="center"/>
          </w:tcPr>
          <w:p w14:paraId="6A59A649">
            <w:pPr>
              <w:pStyle w:val="180"/>
            </w:pPr>
            <w:r>
              <w:rPr>
                <w:rFonts w:hint="eastAsia"/>
              </w:rPr>
              <w:t>沉降历史及变化条件</w:t>
            </w:r>
          </w:p>
        </w:tc>
        <w:tc>
          <w:tcPr>
            <w:tcW w:w="6084" w:type="dxa"/>
            <w:gridSpan w:val="13"/>
            <w:shd w:val="clear" w:color="auto" w:fill="auto"/>
            <w:vAlign w:val="center"/>
          </w:tcPr>
          <w:p w14:paraId="0C4D34FC">
            <w:pPr>
              <w:pStyle w:val="180"/>
            </w:pPr>
          </w:p>
        </w:tc>
      </w:tr>
      <w:tr w14:paraId="51C4A8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6" w:hRule="atLeast"/>
          <w:jc w:val="center"/>
        </w:trPr>
        <w:tc>
          <w:tcPr>
            <w:tcW w:w="932" w:type="dxa"/>
            <w:vMerge w:val="restart"/>
            <w:shd w:val="clear" w:color="auto" w:fill="auto"/>
            <w:vAlign w:val="center"/>
          </w:tcPr>
          <w:p w14:paraId="6F0E9B57">
            <w:pPr>
              <w:pStyle w:val="180"/>
            </w:pPr>
            <w:r>
              <w:rPr>
                <w:rFonts w:hint="eastAsia"/>
              </w:rPr>
              <w:t>地质环境条件</w:t>
            </w:r>
          </w:p>
        </w:tc>
        <w:tc>
          <w:tcPr>
            <w:tcW w:w="2318" w:type="dxa"/>
            <w:gridSpan w:val="4"/>
            <w:shd w:val="clear" w:color="auto" w:fill="auto"/>
            <w:vAlign w:val="center"/>
          </w:tcPr>
          <w:p w14:paraId="1E6A42DB">
            <w:pPr>
              <w:pStyle w:val="180"/>
            </w:pPr>
            <w:r>
              <w:rPr>
                <w:rFonts w:hint="eastAsia"/>
              </w:rPr>
              <w:t>地形地貌</w:t>
            </w:r>
          </w:p>
        </w:tc>
        <w:tc>
          <w:tcPr>
            <w:tcW w:w="6084" w:type="dxa"/>
            <w:gridSpan w:val="13"/>
            <w:shd w:val="clear" w:color="auto" w:fill="auto"/>
            <w:vAlign w:val="center"/>
          </w:tcPr>
          <w:p w14:paraId="6D9394E9">
            <w:pPr>
              <w:pStyle w:val="180"/>
            </w:pPr>
          </w:p>
        </w:tc>
      </w:tr>
      <w:tr w14:paraId="5C8E28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02" w:hRule="atLeast"/>
          <w:jc w:val="center"/>
        </w:trPr>
        <w:tc>
          <w:tcPr>
            <w:tcW w:w="932" w:type="dxa"/>
            <w:vMerge w:val="continue"/>
            <w:shd w:val="clear" w:color="auto" w:fill="auto"/>
            <w:vAlign w:val="center"/>
          </w:tcPr>
          <w:p w14:paraId="0074B82B">
            <w:pPr>
              <w:pStyle w:val="180"/>
            </w:pPr>
          </w:p>
        </w:tc>
        <w:tc>
          <w:tcPr>
            <w:tcW w:w="2318" w:type="dxa"/>
            <w:gridSpan w:val="4"/>
            <w:shd w:val="clear" w:color="auto" w:fill="auto"/>
            <w:vAlign w:val="center"/>
          </w:tcPr>
          <w:p w14:paraId="18C9F9BA">
            <w:pPr>
              <w:pStyle w:val="180"/>
            </w:pPr>
            <w:r>
              <w:rPr>
                <w:rFonts w:hint="eastAsia"/>
              </w:rPr>
              <w:t>地质构造及活动情况</w:t>
            </w:r>
          </w:p>
        </w:tc>
        <w:tc>
          <w:tcPr>
            <w:tcW w:w="6084" w:type="dxa"/>
            <w:gridSpan w:val="13"/>
            <w:shd w:val="clear" w:color="auto" w:fill="auto"/>
            <w:vAlign w:val="center"/>
          </w:tcPr>
          <w:p w14:paraId="177E1F94">
            <w:pPr>
              <w:pStyle w:val="180"/>
            </w:pPr>
          </w:p>
        </w:tc>
      </w:tr>
      <w:tr w14:paraId="2D1CA0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2" w:type="dxa"/>
            <w:vMerge w:val="continue"/>
            <w:shd w:val="clear" w:color="auto" w:fill="auto"/>
            <w:vAlign w:val="center"/>
          </w:tcPr>
          <w:p w14:paraId="54C4D81D">
            <w:pPr>
              <w:pStyle w:val="180"/>
            </w:pPr>
          </w:p>
        </w:tc>
        <w:tc>
          <w:tcPr>
            <w:tcW w:w="2318" w:type="dxa"/>
            <w:gridSpan w:val="4"/>
            <w:shd w:val="clear" w:color="auto" w:fill="auto"/>
            <w:vAlign w:val="center"/>
          </w:tcPr>
          <w:p w14:paraId="1EA3A1C3">
            <w:pPr>
              <w:pStyle w:val="180"/>
            </w:pPr>
            <w:r>
              <w:rPr>
                <w:rFonts w:hint="eastAsia"/>
              </w:rPr>
              <w:t>第四纪沉积环境和沉积物工程地质特征</w:t>
            </w:r>
          </w:p>
        </w:tc>
        <w:tc>
          <w:tcPr>
            <w:tcW w:w="6084" w:type="dxa"/>
            <w:gridSpan w:val="13"/>
            <w:shd w:val="clear" w:color="auto" w:fill="auto"/>
            <w:vAlign w:val="center"/>
          </w:tcPr>
          <w:p w14:paraId="0681656C">
            <w:pPr>
              <w:pStyle w:val="180"/>
            </w:pPr>
          </w:p>
        </w:tc>
      </w:tr>
      <w:tr w14:paraId="5DCA59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9" w:hRule="atLeast"/>
          <w:jc w:val="center"/>
        </w:trPr>
        <w:tc>
          <w:tcPr>
            <w:tcW w:w="932" w:type="dxa"/>
            <w:vMerge w:val="continue"/>
            <w:shd w:val="clear" w:color="auto" w:fill="auto"/>
            <w:vAlign w:val="center"/>
          </w:tcPr>
          <w:p w14:paraId="3E528828">
            <w:pPr>
              <w:pStyle w:val="180"/>
            </w:pPr>
          </w:p>
        </w:tc>
        <w:tc>
          <w:tcPr>
            <w:tcW w:w="2318" w:type="dxa"/>
            <w:gridSpan w:val="4"/>
            <w:shd w:val="clear" w:color="auto" w:fill="auto"/>
            <w:vAlign w:val="center"/>
          </w:tcPr>
          <w:p w14:paraId="7F3E47A3">
            <w:pPr>
              <w:pStyle w:val="180"/>
            </w:pPr>
            <w:r>
              <w:rPr>
                <w:rFonts w:hint="eastAsia"/>
              </w:rPr>
              <w:t>水文地质特诊</w:t>
            </w:r>
          </w:p>
        </w:tc>
        <w:tc>
          <w:tcPr>
            <w:tcW w:w="6084" w:type="dxa"/>
            <w:gridSpan w:val="13"/>
            <w:shd w:val="clear" w:color="auto" w:fill="auto"/>
            <w:vAlign w:val="center"/>
          </w:tcPr>
          <w:p w14:paraId="134F21A4">
            <w:pPr>
              <w:pStyle w:val="180"/>
            </w:pPr>
          </w:p>
        </w:tc>
      </w:tr>
      <w:tr w14:paraId="596F11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61" w:hRule="atLeast"/>
          <w:jc w:val="center"/>
        </w:trPr>
        <w:tc>
          <w:tcPr>
            <w:tcW w:w="932" w:type="dxa"/>
            <w:vMerge w:val="restart"/>
            <w:shd w:val="clear" w:color="auto" w:fill="auto"/>
            <w:vAlign w:val="center"/>
          </w:tcPr>
          <w:p w14:paraId="36E8F8FF">
            <w:pPr>
              <w:pStyle w:val="180"/>
            </w:pPr>
            <w:r>
              <w:rPr>
                <w:rFonts w:hint="eastAsia"/>
              </w:rPr>
              <w:t>危害及造成的损失</w:t>
            </w:r>
          </w:p>
        </w:tc>
        <w:tc>
          <w:tcPr>
            <w:tcW w:w="2800" w:type="dxa"/>
            <w:gridSpan w:val="5"/>
            <w:shd w:val="clear" w:color="auto" w:fill="auto"/>
            <w:vAlign w:val="center"/>
          </w:tcPr>
          <w:p w14:paraId="22A519F1">
            <w:pPr>
              <w:pStyle w:val="180"/>
            </w:pPr>
            <w:r>
              <w:rPr>
                <w:rFonts w:hint="eastAsia" w:hAnsi="宋体"/>
              </w:rPr>
              <w:t>□</w:t>
            </w:r>
            <w:r>
              <w:rPr>
                <w:rFonts w:hint="eastAsia"/>
              </w:rPr>
              <w:t>建构筑物破坏</w:t>
            </w:r>
          </w:p>
          <w:p w14:paraId="32E0FB15">
            <w:pPr>
              <w:pStyle w:val="180"/>
            </w:pPr>
            <w:r>
              <w:rPr>
                <w:rFonts w:hint="eastAsia" w:hAnsi="宋体"/>
              </w:rPr>
              <w:t>□</w:t>
            </w:r>
            <w:r>
              <w:rPr>
                <w:rFonts w:hint="eastAsia"/>
              </w:rPr>
              <w:t xml:space="preserve">地面开裂 </w:t>
            </w:r>
            <w:r>
              <w:rPr>
                <w:rFonts w:hint="eastAsia" w:hAnsi="宋体"/>
              </w:rPr>
              <w:t>□</w:t>
            </w:r>
            <w:r>
              <w:rPr>
                <w:rFonts w:hint="eastAsia"/>
              </w:rPr>
              <w:t>井口抬升</w:t>
            </w:r>
          </w:p>
        </w:tc>
        <w:tc>
          <w:tcPr>
            <w:tcW w:w="2637" w:type="dxa"/>
            <w:gridSpan w:val="6"/>
            <w:shd w:val="clear" w:color="auto" w:fill="auto"/>
            <w:vAlign w:val="center"/>
          </w:tcPr>
          <w:p w14:paraId="7C0D27DF">
            <w:pPr>
              <w:pStyle w:val="180"/>
            </w:pPr>
            <w:r>
              <w:rPr>
                <w:rFonts w:hint="eastAsia" w:hAnsi="宋体"/>
              </w:rPr>
              <w:t>□桥洞净空减少 □</w:t>
            </w:r>
            <w:r>
              <w:rPr>
                <w:rFonts w:hint="eastAsia"/>
              </w:rPr>
              <w:t xml:space="preserve">市政设施破坏 </w:t>
            </w:r>
            <w:r>
              <w:rPr>
                <w:rFonts w:hint="eastAsia" w:hAnsi="宋体"/>
              </w:rPr>
              <w:t>□</w:t>
            </w:r>
            <w:r>
              <w:rPr>
                <w:rFonts w:hint="eastAsia"/>
              </w:rPr>
              <w:t>港口码头或堤岸失效</w:t>
            </w:r>
          </w:p>
        </w:tc>
        <w:tc>
          <w:tcPr>
            <w:tcW w:w="2965" w:type="dxa"/>
            <w:gridSpan w:val="6"/>
            <w:shd w:val="clear" w:color="auto" w:fill="auto"/>
            <w:vAlign w:val="center"/>
          </w:tcPr>
          <w:p w14:paraId="1FBF8EA6">
            <w:pPr>
              <w:pStyle w:val="180"/>
            </w:pPr>
            <w:r>
              <w:rPr>
                <w:rFonts w:hint="eastAsia" w:hAnsi="宋体"/>
              </w:rPr>
              <w:t>□</w:t>
            </w:r>
            <w:r>
              <w:rPr>
                <w:rFonts w:hint="eastAsia"/>
              </w:rPr>
              <w:t xml:space="preserve">海水倒灌 </w:t>
            </w:r>
            <w:r>
              <w:rPr>
                <w:rFonts w:hint="eastAsia" w:hAnsi="宋体"/>
              </w:rPr>
              <w:t>□</w:t>
            </w:r>
            <w:r>
              <w:rPr>
                <w:rFonts w:hint="eastAsia"/>
              </w:rPr>
              <w:t>洪涝灾害</w:t>
            </w:r>
          </w:p>
          <w:p w14:paraId="12D03ADE">
            <w:pPr>
              <w:pStyle w:val="180"/>
            </w:pPr>
            <w:r>
              <w:rPr>
                <w:rFonts w:hint="eastAsia"/>
              </w:rPr>
              <w:t xml:space="preserve"> </w:t>
            </w:r>
            <w:r>
              <w:rPr>
                <w:rFonts w:hint="eastAsia" w:hAnsi="宋体"/>
              </w:rPr>
              <w:t>□</w:t>
            </w:r>
            <w:r>
              <w:rPr>
                <w:rFonts w:hint="eastAsia"/>
              </w:rPr>
              <w:t>其他</w:t>
            </w:r>
          </w:p>
        </w:tc>
      </w:tr>
      <w:tr w14:paraId="4FC519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66" w:hRule="atLeast"/>
          <w:jc w:val="center"/>
        </w:trPr>
        <w:tc>
          <w:tcPr>
            <w:tcW w:w="932" w:type="dxa"/>
            <w:vMerge w:val="continue"/>
            <w:shd w:val="clear" w:color="auto" w:fill="auto"/>
            <w:vAlign w:val="center"/>
          </w:tcPr>
          <w:p w14:paraId="150C51FB">
            <w:pPr>
              <w:pStyle w:val="180"/>
            </w:pPr>
          </w:p>
        </w:tc>
        <w:tc>
          <w:tcPr>
            <w:tcW w:w="2800" w:type="dxa"/>
            <w:gridSpan w:val="5"/>
            <w:shd w:val="clear" w:color="auto" w:fill="auto"/>
            <w:vAlign w:val="center"/>
          </w:tcPr>
          <w:p w14:paraId="14B1BABD">
            <w:pPr>
              <w:pStyle w:val="180"/>
            </w:pPr>
            <w:r>
              <w:rPr>
                <w:rFonts w:hint="eastAsia"/>
              </w:rPr>
              <w:t>灾害现象及造成的损失描述</w:t>
            </w:r>
          </w:p>
        </w:tc>
        <w:tc>
          <w:tcPr>
            <w:tcW w:w="5602" w:type="dxa"/>
            <w:gridSpan w:val="12"/>
            <w:shd w:val="clear" w:color="auto" w:fill="auto"/>
            <w:vAlign w:val="center"/>
          </w:tcPr>
          <w:p w14:paraId="0155B31D">
            <w:pPr>
              <w:pStyle w:val="180"/>
            </w:pPr>
          </w:p>
        </w:tc>
      </w:tr>
      <w:tr w14:paraId="54C47A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11" w:hRule="atLeast"/>
          <w:jc w:val="center"/>
        </w:trPr>
        <w:tc>
          <w:tcPr>
            <w:tcW w:w="932" w:type="dxa"/>
            <w:vMerge w:val="restart"/>
            <w:shd w:val="clear" w:color="auto" w:fill="auto"/>
            <w:vAlign w:val="center"/>
          </w:tcPr>
          <w:p w14:paraId="577CBFFE">
            <w:pPr>
              <w:pStyle w:val="180"/>
            </w:pPr>
            <w:r>
              <w:rPr>
                <w:rFonts w:hint="eastAsia"/>
              </w:rPr>
              <w:t>沉降区地下水等开采概况</w:t>
            </w:r>
          </w:p>
        </w:tc>
        <w:tc>
          <w:tcPr>
            <w:tcW w:w="3594" w:type="dxa"/>
            <w:gridSpan w:val="7"/>
            <w:shd w:val="clear" w:color="auto" w:fill="auto"/>
            <w:vAlign w:val="center"/>
          </w:tcPr>
          <w:p w14:paraId="67DE60BE">
            <w:pPr>
              <w:pStyle w:val="180"/>
            </w:pPr>
            <w:r>
              <w:rPr>
                <w:rFonts w:hint="eastAsia"/>
              </w:rPr>
              <w:t>地下水开采</w:t>
            </w:r>
          </w:p>
        </w:tc>
        <w:tc>
          <w:tcPr>
            <w:tcW w:w="1843" w:type="dxa"/>
            <w:gridSpan w:val="4"/>
            <w:shd w:val="clear" w:color="auto" w:fill="auto"/>
            <w:vAlign w:val="center"/>
          </w:tcPr>
          <w:p w14:paraId="59324153">
            <w:pPr>
              <w:pStyle w:val="180"/>
            </w:pPr>
            <w:r>
              <w:rPr>
                <w:rFonts w:hint="eastAsia"/>
              </w:rPr>
              <w:t>地下水位</w:t>
            </w:r>
          </w:p>
        </w:tc>
        <w:tc>
          <w:tcPr>
            <w:tcW w:w="2965" w:type="dxa"/>
            <w:gridSpan w:val="6"/>
            <w:shd w:val="clear" w:color="auto" w:fill="auto"/>
            <w:vAlign w:val="center"/>
          </w:tcPr>
          <w:p w14:paraId="7800E0FE">
            <w:pPr>
              <w:pStyle w:val="180"/>
            </w:pPr>
            <w:r>
              <w:rPr>
                <w:rFonts w:hint="eastAsia"/>
              </w:rPr>
              <w:t>地下水回灌</w:t>
            </w:r>
          </w:p>
        </w:tc>
      </w:tr>
      <w:tr w14:paraId="4422E2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97" w:hRule="atLeast"/>
          <w:jc w:val="center"/>
        </w:trPr>
        <w:tc>
          <w:tcPr>
            <w:tcW w:w="932" w:type="dxa"/>
            <w:vMerge w:val="continue"/>
            <w:shd w:val="clear" w:color="auto" w:fill="auto"/>
            <w:vAlign w:val="center"/>
          </w:tcPr>
          <w:p w14:paraId="10945934">
            <w:pPr>
              <w:pStyle w:val="180"/>
            </w:pPr>
          </w:p>
        </w:tc>
        <w:tc>
          <w:tcPr>
            <w:tcW w:w="700" w:type="dxa"/>
            <w:shd w:val="clear" w:color="auto" w:fill="auto"/>
            <w:vAlign w:val="center"/>
          </w:tcPr>
          <w:p w14:paraId="262EDE15">
            <w:pPr>
              <w:pStyle w:val="180"/>
            </w:pPr>
            <w:r>
              <w:rPr>
                <w:rFonts w:hint="eastAsia"/>
              </w:rPr>
              <w:t>开采</w:t>
            </w:r>
          </w:p>
          <w:p w14:paraId="6F0A9C53">
            <w:pPr>
              <w:pStyle w:val="180"/>
            </w:pPr>
            <w:r>
              <w:rPr>
                <w:rFonts w:hint="eastAsia"/>
              </w:rPr>
              <w:t>层位</w:t>
            </w:r>
          </w:p>
        </w:tc>
        <w:tc>
          <w:tcPr>
            <w:tcW w:w="700" w:type="dxa"/>
            <w:shd w:val="clear" w:color="auto" w:fill="auto"/>
            <w:vAlign w:val="center"/>
          </w:tcPr>
          <w:p w14:paraId="051C0E0C">
            <w:pPr>
              <w:pStyle w:val="180"/>
            </w:pPr>
            <w:r>
              <w:rPr>
                <w:rFonts w:hint="eastAsia"/>
              </w:rPr>
              <w:t>开采</w:t>
            </w:r>
          </w:p>
          <w:p w14:paraId="2053996F">
            <w:pPr>
              <w:pStyle w:val="180"/>
            </w:pPr>
            <w:r>
              <w:rPr>
                <w:rFonts w:hint="eastAsia"/>
              </w:rPr>
              <w:t>时间</w:t>
            </w:r>
          </w:p>
        </w:tc>
        <w:tc>
          <w:tcPr>
            <w:tcW w:w="700" w:type="dxa"/>
            <w:shd w:val="clear" w:color="auto" w:fill="auto"/>
            <w:vAlign w:val="center"/>
          </w:tcPr>
          <w:p w14:paraId="4231FE35">
            <w:pPr>
              <w:pStyle w:val="180"/>
            </w:pPr>
            <w:r>
              <w:rPr>
                <w:rFonts w:hint="eastAsia"/>
              </w:rPr>
              <w:t>开采井数量（眼）</w:t>
            </w:r>
          </w:p>
        </w:tc>
        <w:tc>
          <w:tcPr>
            <w:tcW w:w="700" w:type="dxa"/>
            <w:gridSpan w:val="2"/>
            <w:shd w:val="clear" w:color="auto" w:fill="auto"/>
            <w:vAlign w:val="center"/>
          </w:tcPr>
          <w:p w14:paraId="12F20AA7">
            <w:pPr>
              <w:pStyle w:val="180"/>
            </w:pPr>
            <w:r>
              <w:rPr>
                <w:rFonts w:hint="eastAsia"/>
              </w:rPr>
              <w:t>开采井深度（m）</w:t>
            </w:r>
          </w:p>
        </w:tc>
        <w:tc>
          <w:tcPr>
            <w:tcW w:w="794" w:type="dxa"/>
            <w:gridSpan w:val="2"/>
            <w:shd w:val="clear" w:color="auto" w:fill="auto"/>
            <w:vAlign w:val="center"/>
          </w:tcPr>
          <w:p w14:paraId="6A8F6283">
            <w:pPr>
              <w:pStyle w:val="180"/>
            </w:pPr>
            <w:r>
              <w:rPr>
                <w:rFonts w:hint="eastAsia"/>
              </w:rPr>
              <w:t>开采量（m</w:t>
            </w:r>
            <w:r>
              <w:rPr>
                <w:vertAlign w:val="superscript"/>
              </w:rPr>
              <w:t>3</w:t>
            </w:r>
            <w:r>
              <w:t>/</w:t>
            </w:r>
            <w:r>
              <w:rPr>
                <w:rFonts w:hint="eastAsia"/>
              </w:rPr>
              <w:t>a或m</w:t>
            </w:r>
            <w:r>
              <w:rPr>
                <w:vertAlign w:val="superscript"/>
              </w:rPr>
              <w:t>3</w:t>
            </w:r>
            <w:r>
              <w:t>/</w:t>
            </w:r>
            <w:r>
              <w:rPr>
                <w:rFonts w:hint="eastAsia"/>
              </w:rPr>
              <w:t>d）</w:t>
            </w:r>
          </w:p>
        </w:tc>
        <w:tc>
          <w:tcPr>
            <w:tcW w:w="851" w:type="dxa"/>
            <w:shd w:val="clear" w:color="auto" w:fill="auto"/>
            <w:vAlign w:val="center"/>
          </w:tcPr>
          <w:p w14:paraId="19C31E20">
            <w:pPr>
              <w:pStyle w:val="180"/>
            </w:pPr>
            <w:r>
              <w:rPr>
                <w:rFonts w:hint="eastAsia"/>
              </w:rPr>
              <w:t>开采前水位（头）高程（m）</w:t>
            </w:r>
          </w:p>
        </w:tc>
        <w:tc>
          <w:tcPr>
            <w:tcW w:w="992" w:type="dxa"/>
            <w:gridSpan w:val="3"/>
            <w:shd w:val="clear" w:color="auto" w:fill="auto"/>
            <w:vAlign w:val="center"/>
          </w:tcPr>
          <w:p w14:paraId="6D675FA1">
            <w:pPr>
              <w:pStyle w:val="180"/>
            </w:pPr>
            <w:r>
              <w:rPr>
                <w:rFonts w:hint="eastAsia"/>
              </w:rPr>
              <w:t>漏斗中心水位（头）高程（m）</w:t>
            </w:r>
          </w:p>
        </w:tc>
        <w:tc>
          <w:tcPr>
            <w:tcW w:w="709" w:type="dxa"/>
            <w:shd w:val="clear" w:color="auto" w:fill="auto"/>
            <w:vAlign w:val="center"/>
          </w:tcPr>
          <w:p w14:paraId="31CC918F">
            <w:pPr>
              <w:pStyle w:val="180"/>
            </w:pPr>
            <w:r>
              <w:rPr>
                <w:rFonts w:hint="eastAsia"/>
              </w:rPr>
              <w:t>回灌层位</w:t>
            </w:r>
          </w:p>
        </w:tc>
        <w:tc>
          <w:tcPr>
            <w:tcW w:w="855" w:type="dxa"/>
            <w:gridSpan w:val="2"/>
            <w:shd w:val="clear" w:color="auto" w:fill="auto"/>
            <w:vAlign w:val="center"/>
          </w:tcPr>
          <w:p w14:paraId="0FF8EE59">
            <w:pPr>
              <w:pStyle w:val="180"/>
            </w:pPr>
            <w:r>
              <w:rPr>
                <w:rFonts w:hint="eastAsia"/>
              </w:rPr>
              <w:t>回灌时间</w:t>
            </w:r>
          </w:p>
        </w:tc>
        <w:tc>
          <w:tcPr>
            <w:tcW w:w="700" w:type="dxa"/>
            <w:gridSpan w:val="2"/>
            <w:shd w:val="clear" w:color="auto" w:fill="auto"/>
            <w:vAlign w:val="center"/>
          </w:tcPr>
          <w:p w14:paraId="5BDC862D">
            <w:pPr>
              <w:pStyle w:val="180"/>
            </w:pPr>
            <w:r>
              <w:rPr>
                <w:rFonts w:hint="eastAsia"/>
              </w:rPr>
              <w:t>回灌井数量（眼）</w:t>
            </w:r>
          </w:p>
        </w:tc>
        <w:tc>
          <w:tcPr>
            <w:tcW w:w="701" w:type="dxa"/>
            <w:shd w:val="clear" w:color="auto" w:fill="auto"/>
            <w:vAlign w:val="center"/>
          </w:tcPr>
          <w:p w14:paraId="36144EE1">
            <w:pPr>
              <w:pStyle w:val="180"/>
            </w:pPr>
            <w:r>
              <w:rPr>
                <w:rFonts w:hint="eastAsia"/>
              </w:rPr>
              <w:t>回灌井深度（m）</w:t>
            </w:r>
          </w:p>
        </w:tc>
      </w:tr>
      <w:tr w14:paraId="0921FC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72" w:hRule="atLeast"/>
          <w:jc w:val="center"/>
        </w:trPr>
        <w:tc>
          <w:tcPr>
            <w:tcW w:w="932" w:type="dxa"/>
            <w:vMerge w:val="continue"/>
            <w:shd w:val="clear" w:color="auto" w:fill="auto"/>
            <w:vAlign w:val="center"/>
          </w:tcPr>
          <w:p w14:paraId="094913E2">
            <w:pPr>
              <w:pStyle w:val="180"/>
            </w:pPr>
          </w:p>
        </w:tc>
        <w:tc>
          <w:tcPr>
            <w:tcW w:w="700" w:type="dxa"/>
            <w:shd w:val="clear" w:color="auto" w:fill="auto"/>
            <w:vAlign w:val="center"/>
          </w:tcPr>
          <w:p w14:paraId="538C720F">
            <w:pPr>
              <w:pStyle w:val="180"/>
            </w:pPr>
          </w:p>
        </w:tc>
        <w:tc>
          <w:tcPr>
            <w:tcW w:w="700" w:type="dxa"/>
            <w:shd w:val="clear" w:color="auto" w:fill="auto"/>
            <w:vAlign w:val="center"/>
          </w:tcPr>
          <w:p w14:paraId="4E0082B0">
            <w:pPr>
              <w:pStyle w:val="180"/>
            </w:pPr>
          </w:p>
        </w:tc>
        <w:tc>
          <w:tcPr>
            <w:tcW w:w="700" w:type="dxa"/>
            <w:shd w:val="clear" w:color="auto" w:fill="auto"/>
            <w:vAlign w:val="center"/>
          </w:tcPr>
          <w:p w14:paraId="04A28098">
            <w:pPr>
              <w:pStyle w:val="180"/>
            </w:pPr>
          </w:p>
        </w:tc>
        <w:tc>
          <w:tcPr>
            <w:tcW w:w="700" w:type="dxa"/>
            <w:gridSpan w:val="2"/>
            <w:shd w:val="clear" w:color="auto" w:fill="auto"/>
            <w:vAlign w:val="center"/>
          </w:tcPr>
          <w:p w14:paraId="692BF4D9">
            <w:pPr>
              <w:pStyle w:val="180"/>
            </w:pPr>
          </w:p>
        </w:tc>
        <w:tc>
          <w:tcPr>
            <w:tcW w:w="794" w:type="dxa"/>
            <w:gridSpan w:val="2"/>
            <w:shd w:val="clear" w:color="auto" w:fill="auto"/>
            <w:vAlign w:val="center"/>
          </w:tcPr>
          <w:p w14:paraId="565D1A6C">
            <w:pPr>
              <w:pStyle w:val="180"/>
            </w:pPr>
          </w:p>
        </w:tc>
        <w:tc>
          <w:tcPr>
            <w:tcW w:w="1843" w:type="dxa"/>
            <w:gridSpan w:val="4"/>
            <w:shd w:val="clear" w:color="auto" w:fill="auto"/>
            <w:vAlign w:val="center"/>
          </w:tcPr>
          <w:p w14:paraId="4CCB8929">
            <w:pPr>
              <w:pStyle w:val="180"/>
            </w:pPr>
          </w:p>
        </w:tc>
        <w:tc>
          <w:tcPr>
            <w:tcW w:w="709" w:type="dxa"/>
            <w:shd w:val="clear" w:color="auto" w:fill="auto"/>
            <w:vAlign w:val="center"/>
          </w:tcPr>
          <w:p w14:paraId="3759C143">
            <w:pPr>
              <w:pStyle w:val="180"/>
            </w:pPr>
          </w:p>
        </w:tc>
        <w:tc>
          <w:tcPr>
            <w:tcW w:w="855" w:type="dxa"/>
            <w:gridSpan w:val="2"/>
            <w:shd w:val="clear" w:color="auto" w:fill="auto"/>
            <w:vAlign w:val="center"/>
          </w:tcPr>
          <w:p w14:paraId="0957F93D">
            <w:pPr>
              <w:pStyle w:val="180"/>
            </w:pPr>
          </w:p>
        </w:tc>
        <w:tc>
          <w:tcPr>
            <w:tcW w:w="700" w:type="dxa"/>
            <w:gridSpan w:val="2"/>
            <w:shd w:val="clear" w:color="auto" w:fill="auto"/>
            <w:vAlign w:val="center"/>
          </w:tcPr>
          <w:p w14:paraId="0F016118">
            <w:pPr>
              <w:pStyle w:val="180"/>
            </w:pPr>
          </w:p>
        </w:tc>
        <w:tc>
          <w:tcPr>
            <w:tcW w:w="701" w:type="dxa"/>
            <w:shd w:val="clear" w:color="auto" w:fill="auto"/>
            <w:vAlign w:val="center"/>
          </w:tcPr>
          <w:p w14:paraId="42F69795">
            <w:pPr>
              <w:pStyle w:val="180"/>
            </w:pPr>
          </w:p>
        </w:tc>
      </w:tr>
      <w:tr w14:paraId="2707DE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53" w:hRule="atLeast"/>
          <w:jc w:val="center"/>
        </w:trPr>
        <w:tc>
          <w:tcPr>
            <w:tcW w:w="932" w:type="dxa"/>
            <w:vMerge w:val="continue"/>
            <w:shd w:val="clear" w:color="auto" w:fill="auto"/>
            <w:vAlign w:val="center"/>
          </w:tcPr>
          <w:p w14:paraId="77CD9A23">
            <w:pPr>
              <w:pStyle w:val="180"/>
            </w:pPr>
          </w:p>
        </w:tc>
        <w:tc>
          <w:tcPr>
            <w:tcW w:w="2800" w:type="dxa"/>
            <w:gridSpan w:val="5"/>
            <w:shd w:val="clear" w:color="auto" w:fill="auto"/>
            <w:vAlign w:val="center"/>
          </w:tcPr>
          <w:p w14:paraId="259F2083">
            <w:pPr>
              <w:pStyle w:val="180"/>
            </w:pPr>
            <w:r>
              <w:rPr>
                <w:rFonts w:hint="eastAsia"/>
              </w:rPr>
              <w:t>其他（地热、油、气及固体矿产等）</w:t>
            </w:r>
          </w:p>
        </w:tc>
        <w:tc>
          <w:tcPr>
            <w:tcW w:w="5602" w:type="dxa"/>
            <w:gridSpan w:val="12"/>
            <w:shd w:val="clear" w:color="auto" w:fill="auto"/>
            <w:vAlign w:val="center"/>
          </w:tcPr>
          <w:p w14:paraId="64AEF55D">
            <w:pPr>
              <w:pStyle w:val="180"/>
            </w:pPr>
          </w:p>
        </w:tc>
      </w:tr>
      <w:tr w14:paraId="14E796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328" w:hRule="atLeast"/>
          <w:jc w:val="center"/>
        </w:trPr>
        <w:tc>
          <w:tcPr>
            <w:tcW w:w="932" w:type="dxa"/>
            <w:shd w:val="clear" w:color="auto" w:fill="auto"/>
            <w:vAlign w:val="center"/>
          </w:tcPr>
          <w:p w14:paraId="73E92BC8">
            <w:pPr>
              <w:pStyle w:val="180"/>
            </w:pPr>
            <w:r>
              <w:rPr>
                <w:rFonts w:hint="eastAsia"/>
              </w:rPr>
              <w:t>沉降区人类活动特征</w:t>
            </w:r>
          </w:p>
        </w:tc>
        <w:tc>
          <w:tcPr>
            <w:tcW w:w="8402" w:type="dxa"/>
            <w:gridSpan w:val="17"/>
            <w:shd w:val="clear" w:color="auto" w:fill="auto"/>
            <w:vAlign w:val="center"/>
          </w:tcPr>
          <w:p w14:paraId="53418DBE">
            <w:pPr>
              <w:pStyle w:val="180"/>
            </w:pPr>
          </w:p>
        </w:tc>
      </w:tr>
    </w:tbl>
    <w:p w14:paraId="36B79DCB">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表C.8  地面沉降调查记录表</w:t>
      </w:r>
      <w:r>
        <w:rPr>
          <w:rFonts w:hint="eastAsia" w:hAnsi="宋体"/>
        </w:rPr>
        <w:t>（续）</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932"/>
        <w:gridCol w:w="2318"/>
        <w:gridCol w:w="851"/>
        <w:gridCol w:w="1418"/>
        <w:gridCol w:w="3815"/>
      </w:tblGrid>
      <w:tr w14:paraId="0990B8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13" w:hRule="atLeast"/>
          <w:tblHeader/>
          <w:jc w:val="center"/>
        </w:trPr>
        <w:tc>
          <w:tcPr>
            <w:tcW w:w="932" w:type="dxa"/>
            <w:tcBorders>
              <w:top w:val="single" w:color="auto" w:sz="8" w:space="0"/>
              <w:bottom w:val="single" w:color="auto" w:sz="8" w:space="0"/>
            </w:tcBorders>
            <w:shd w:val="clear" w:color="auto" w:fill="auto"/>
            <w:vAlign w:val="center"/>
          </w:tcPr>
          <w:p w14:paraId="3D2D48F7">
            <w:pPr>
              <w:pStyle w:val="180"/>
            </w:pPr>
            <w:r>
              <w:rPr>
                <w:rFonts w:hint="eastAsia"/>
              </w:rPr>
              <w:t>名称</w:t>
            </w:r>
          </w:p>
        </w:tc>
        <w:tc>
          <w:tcPr>
            <w:tcW w:w="2318" w:type="dxa"/>
            <w:tcBorders>
              <w:top w:val="single" w:color="auto" w:sz="8" w:space="0"/>
              <w:bottom w:val="single" w:color="auto" w:sz="8" w:space="0"/>
            </w:tcBorders>
            <w:shd w:val="clear" w:color="auto" w:fill="auto"/>
            <w:vAlign w:val="center"/>
          </w:tcPr>
          <w:p w14:paraId="0D550BDE">
            <w:pPr>
              <w:pStyle w:val="180"/>
            </w:pPr>
          </w:p>
        </w:tc>
        <w:tc>
          <w:tcPr>
            <w:tcW w:w="851" w:type="dxa"/>
            <w:tcBorders>
              <w:top w:val="single" w:color="auto" w:sz="8" w:space="0"/>
            </w:tcBorders>
            <w:shd w:val="clear" w:color="auto" w:fill="auto"/>
            <w:vAlign w:val="center"/>
          </w:tcPr>
          <w:p w14:paraId="12B4F8DA">
            <w:pPr>
              <w:pStyle w:val="180"/>
            </w:pPr>
            <w:r>
              <w:rPr>
                <w:rFonts w:hint="eastAsia"/>
              </w:rPr>
              <w:t>地理位置</w:t>
            </w:r>
          </w:p>
        </w:tc>
        <w:tc>
          <w:tcPr>
            <w:tcW w:w="5233" w:type="dxa"/>
            <w:gridSpan w:val="2"/>
            <w:tcBorders>
              <w:top w:val="single" w:color="auto" w:sz="8" w:space="0"/>
              <w:bottom w:val="single" w:color="auto" w:sz="8" w:space="0"/>
            </w:tcBorders>
            <w:shd w:val="clear" w:color="auto" w:fill="auto"/>
            <w:vAlign w:val="center"/>
          </w:tcPr>
          <w:p w14:paraId="43BB7553">
            <w:pPr>
              <w:pStyle w:val="180"/>
              <w:jc w:val="right"/>
            </w:pPr>
            <w:r>
              <w:rPr>
                <w:rFonts w:ascii="Times New Roman"/>
                <w:szCs w:val="18"/>
              </w:rPr>
              <w:t xml:space="preserve">省   </w:t>
            </w:r>
            <w:r>
              <w:rPr>
                <w:rFonts w:hint="eastAsia" w:ascii="Times New Roman"/>
                <w:szCs w:val="18"/>
              </w:rPr>
              <w:t xml:space="preserve"> </w:t>
            </w:r>
            <w:r>
              <w:rPr>
                <w:rFonts w:ascii="Times New Roman"/>
                <w:szCs w:val="18"/>
              </w:rPr>
              <w:t xml:space="preserve"> 市     县（市、区）    乡     村    组</w:t>
            </w:r>
          </w:p>
        </w:tc>
      </w:tr>
      <w:tr w14:paraId="07A93A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76" w:hRule="atLeast"/>
          <w:jc w:val="center"/>
        </w:trPr>
        <w:tc>
          <w:tcPr>
            <w:tcW w:w="932" w:type="dxa"/>
            <w:shd w:val="clear" w:color="auto" w:fill="auto"/>
            <w:vAlign w:val="center"/>
          </w:tcPr>
          <w:p w14:paraId="13745D5F">
            <w:pPr>
              <w:pStyle w:val="180"/>
            </w:pPr>
            <w:r>
              <w:rPr>
                <w:rFonts w:hint="eastAsia"/>
              </w:rPr>
              <w:t>沉降原因</w:t>
            </w:r>
          </w:p>
        </w:tc>
        <w:tc>
          <w:tcPr>
            <w:tcW w:w="8402" w:type="dxa"/>
            <w:gridSpan w:val="4"/>
            <w:shd w:val="clear" w:color="auto" w:fill="auto"/>
            <w:vAlign w:val="center"/>
          </w:tcPr>
          <w:p w14:paraId="722EC785">
            <w:pPr>
              <w:pStyle w:val="180"/>
            </w:pPr>
          </w:p>
        </w:tc>
      </w:tr>
      <w:tr w14:paraId="153999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692" w:hRule="atLeast"/>
          <w:jc w:val="center"/>
        </w:trPr>
        <w:tc>
          <w:tcPr>
            <w:tcW w:w="932" w:type="dxa"/>
            <w:shd w:val="clear" w:color="auto" w:fill="auto"/>
            <w:vAlign w:val="center"/>
          </w:tcPr>
          <w:p w14:paraId="52730805">
            <w:pPr>
              <w:pStyle w:val="180"/>
            </w:pPr>
            <w:r>
              <w:rPr>
                <w:rFonts w:hint="eastAsia"/>
              </w:rPr>
              <w:t>防治建议</w:t>
            </w:r>
          </w:p>
        </w:tc>
        <w:tc>
          <w:tcPr>
            <w:tcW w:w="8402" w:type="dxa"/>
            <w:gridSpan w:val="4"/>
            <w:shd w:val="clear" w:color="auto" w:fill="auto"/>
            <w:vAlign w:val="center"/>
          </w:tcPr>
          <w:p w14:paraId="22078302">
            <w:pPr>
              <w:pStyle w:val="180"/>
            </w:pPr>
          </w:p>
        </w:tc>
      </w:tr>
      <w:tr w14:paraId="7E7684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800" w:hRule="atLeast"/>
          <w:jc w:val="center"/>
        </w:trPr>
        <w:tc>
          <w:tcPr>
            <w:tcW w:w="932" w:type="dxa"/>
            <w:shd w:val="clear" w:color="auto" w:fill="auto"/>
            <w:vAlign w:val="center"/>
          </w:tcPr>
          <w:p w14:paraId="5DBDD3CF">
            <w:pPr>
              <w:pStyle w:val="180"/>
            </w:pPr>
            <w:r>
              <w:rPr>
                <w:rFonts w:hint="eastAsia"/>
              </w:rPr>
              <w:t>现场图像</w:t>
            </w:r>
          </w:p>
        </w:tc>
        <w:tc>
          <w:tcPr>
            <w:tcW w:w="4587" w:type="dxa"/>
            <w:gridSpan w:val="3"/>
            <w:shd w:val="clear" w:color="auto" w:fill="auto"/>
          </w:tcPr>
          <w:p w14:paraId="5673A788">
            <w:pPr>
              <w:pStyle w:val="180"/>
              <w:jc w:val="both"/>
            </w:pPr>
            <w:r>
              <w:rPr>
                <w:rFonts w:hint="eastAsia"/>
              </w:rPr>
              <w:t>平（剖）面图：</w:t>
            </w:r>
          </w:p>
        </w:tc>
        <w:tc>
          <w:tcPr>
            <w:tcW w:w="3815" w:type="dxa"/>
            <w:shd w:val="clear" w:color="auto" w:fill="auto"/>
          </w:tcPr>
          <w:p w14:paraId="2DEEE57F">
            <w:pPr>
              <w:pStyle w:val="180"/>
              <w:jc w:val="both"/>
            </w:pPr>
            <w:r>
              <w:rPr>
                <w:rFonts w:hint="eastAsia"/>
              </w:rPr>
              <w:t>图片及编号：</w:t>
            </w:r>
          </w:p>
          <w:p w14:paraId="40E711DA">
            <w:pPr>
              <w:pStyle w:val="180"/>
            </w:pPr>
          </w:p>
          <w:p w14:paraId="7BA4B46E">
            <w:pPr>
              <w:pStyle w:val="180"/>
            </w:pPr>
          </w:p>
          <w:p w14:paraId="78AAD0CD">
            <w:pPr>
              <w:pStyle w:val="180"/>
              <w:jc w:val="both"/>
            </w:pPr>
            <w:r>
              <w:rPr>
                <w:rFonts w:hint="eastAsia"/>
              </w:rPr>
              <w:t>影响及编号：</w:t>
            </w:r>
          </w:p>
          <w:p w14:paraId="4C193797">
            <w:pPr>
              <w:pStyle w:val="180"/>
            </w:pPr>
          </w:p>
        </w:tc>
      </w:tr>
    </w:tbl>
    <w:p w14:paraId="23B5E682">
      <w:pPr>
        <w:pStyle w:val="58"/>
        <w:ind w:firstLine="360"/>
      </w:pPr>
      <w:r>
        <w:rPr>
          <w:rFonts w:ascii="Times New Roman"/>
          <w:sz w:val="18"/>
          <w:szCs w:val="18"/>
        </w:rPr>
        <w:t>记    录：            校    核：           项目负责：             填表日期：      年     月     日</w:t>
      </w:r>
    </w:p>
    <w:p w14:paraId="1458CACB">
      <w:pPr>
        <w:pStyle w:val="58"/>
        <w:ind w:firstLine="420"/>
      </w:pPr>
    </w:p>
    <w:p w14:paraId="748BB323">
      <w:pPr>
        <w:pStyle w:val="58"/>
        <w:ind w:firstLine="420"/>
      </w:pPr>
    </w:p>
    <w:p w14:paraId="61FA84ED">
      <w:pPr>
        <w:pStyle w:val="58"/>
        <w:ind w:firstLine="420"/>
      </w:pPr>
    </w:p>
    <w:p w14:paraId="7CDAD487">
      <w:pPr>
        <w:pStyle w:val="58"/>
        <w:ind w:firstLine="420"/>
      </w:pPr>
    </w:p>
    <w:p w14:paraId="3FC72BAD">
      <w:pPr>
        <w:pStyle w:val="58"/>
        <w:ind w:firstLine="420"/>
      </w:pPr>
    </w:p>
    <w:p w14:paraId="3F65A865">
      <w:pPr>
        <w:pStyle w:val="58"/>
        <w:ind w:firstLine="420"/>
      </w:pPr>
    </w:p>
    <w:p w14:paraId="152BFED8">
      <w:pPr>
        <w:pStyle w:val="58"/>
        <w:ind w:firstLine="420"/>
      </w:pPr>
    </w:p>
    <w:p w14:paraId="01D6B04B">
      <w:pPr>
        <w:pStyle w:val="58"/>
        <w:ind w:firstLine="420"/>
      </w:pPr>
    </w:p>
    <w:p w14:paraId="76A740F0">
      <w:pPr>
        <w:pStyle w:val="58"/>
        <w:ind w:firstLine="420"/>
      </w:pPr>
    </w:p>
    <w:p w14:paraId="6F7A578A">
      <w:pPr>
        <w:pStyle w:val="58"/>
        <w:ind w:firstLine="420"/>
        <w:sectPr>
          <w:pgSz w:w="11906" w:h="16838"/>
          <w:pgMar w:top="1928" w:right="1134" w:bottom="1134" w:left="1134" w:header="1418" w:footer="1134" w:gutter="284"/>
          <w:cols w:space="425" w:num="1"/>
          <w:formProt w:val="0"/>
          <w:docGrid w:type="lines" w:linePitch="312" w:charSpace="0"/>
        </w:sectPr>
      </w:pPr>
    </w:p>
    <w:p w14:paraId="2E494352">
      <w:pPr>
        <w:pStyle w:val="79"/>
        <w:spacing w:before="156" w:after="156"/>
      </w:pPr>
      <w:r>
        <w:rPr>
          <w:rFonts w:hint="eastAsia"/>
        </w:rPr>
        <w:t>地裂缝调查记录表</w:t>
      </w:r>
    </w:p>
    <w:tbl>
      <w:tblPr>
        <w:tblStyle w:val="28"/>
        <w:tblW w:w="139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269"/>
        <w:gridCol w:w="248"/>
        <w:gridCol w:w="617"/>
        <w:gridCol w:w="553"/>
        <w:gridCol w:w="791"/>
        <w:gridCol w:w="1200"/>
        <w:gridCol w:w="287"/>
        <w:gridCol w:w="605"/>
        <w:gridCol w:w="658"/>
        <w:gridCol w:w="821"/>
        <w:gridCol w:w="690"/>
        <w:gridCol w:w="267"/>
        <w:gridCol w:w="426"/>
        <w:gridCol w:w="690"/>
        <w:gridCol w:w="296"/>
        <w:gridCol w:w="1060"/>
        <w:gridCol w:w="210"/>
        <w:gridCol w:w="167"/>
        <w:gridCol w:w="934"/>
        <w:gridCol w:w="632"/>
        <w:gridCol w:w="163"/>
        <w:gridCol w:w="1221"/>
        <w:gridCol w:w="1107"/>
      </w:tblGrid>
      <w:tr w14:paraId="5FA8B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38" w:hRule="atLeast"/>
          <w:jc w:val="center"/>
        </w:trPr>
        <w:tc>
          <w:tcPr>
            <w:tcW w:w="1134" w:type="dxa"/>
            <w:gridSpan w:val="3"/>
            <w:tcBorders>
              <w:top w:val="single" w:color="auto" w:sz="4" w:space="0"/>
              <w:left w:val="single" w:color="auto" w:sz="4" w:space="0"/>
              <w:bottom w:val="single" w:color="auto" w:sz="4" w:space="0"/>
              <w:right w:val="single" w:color="auto" w:sz="4" w:space="0"/>
            </w:tcBorders>
            <w:vAlign w:val="center"/>
          </w:tcPr>
          <w:p w14:paraId="4BA876A8">
            <w:pPr>
              <w:spacing w:line="240" w:lineRule="auto"/>
              <w:jc w:val="center"/>
              <w:rPr>
                <w:rFonts w:ascii="宋体" w:hAnsi="宋体"/>
                <w:sz w:val="18"/>
                <w:szCs w:val="18"/>
              </w:rPr>
            </w:pPr>
            <w:r>
              <w:rPr>
                <w:rFonts w:hint="eastAsia" w:ascii="宋体" w:hAnsi="宋体" w:cs="宋体"/>
                <w:sz w:val="18"/>
                <w:szCs w:val="18"/>
              </w:rPr>
              <w:t>地裂缝名称</w:t>
            </w:r>
          </w:p>
        </w:tc>
        <w:tc>
          <w:tcPr>
            <w:tcW w:w="2544" w:type="dxa"/>
            <w:gridSpan w:val="3"/>
            <w:tcBorders>
              <w:top w:val="single" w:color="auto" w:sz="4" w:space="0"/>
              <w:left w:val="single" w:color="auto" w:sz="4" w:space="0"/>
              <w:bottom w:val="single" w:color="auto" w:sz="4" w:space="0"/>
              <w:right w:val="single" w:color="auto" w:sz="4" w:space="0"/>
            </w:tcBorders>
            <w:vAlign w:val="center"/>
          </w:tcPr>
          <w:p w14:paraId="18DCEB04">
            <w:pPr>
              <w:spacing w:line="240" w:lineRule="auto"/>
              <w:jc w:val="center"/>
              <w:rPr>
                <w:rFonts w:ascii="宋体" w:hAnsi="宋体"/>
                <w:sz w:val="18"/>
                <w:szCs w:val="18"/>
              </w:rPr>
            </w:pPr>
          </w:p>
        </w:tc>
        <w:tc>
          <w:tcPr>
            <w:tcW w:w="892" w:type="dxa"/>
            <w:gridSpan w:val="2"/>
            <w:vMerge w:val="restart"/>
            <w:tcBorders>
              <w:top w:val="single" w:color="auto" w:sz="4" w:space="0"/>
              <w:left w:val="single" w:color="auto" w:sz="4" w:space="0"/>
              <w:bottom w:val="single" w:color="auto" w:sz="4" w:space="0"/>
              <w:right w:val="single" w:color="auto" w:sz="4" w:space="0"/>
            </w:tcBorders>
            <w:vAlign w:val="center"/>
          </w:tcPr>
          <w:p w14:paraId="6E30C614">
            <w:pPr>
              <w:spacing w:line="240" w:lineRule="auto"/>
              <w:jc w:val="center"/>
              <w:rPr>
                <w:rFonts w:ascii="宋体" w:hAnsi="宋体"/>
                <w:sz w:val="18"/>
                <w:szCs w:val="18"/>
              </w:rPr>
            </w:pPr>
            <w:r>
              <w:rPr>
                <w:rFonts w:hint="eastAsia" w:ascii="宋体" w:hAnsi="宋体" w:cs="宋体"/>
                <w:sz w:val="18"/>
                <w:szCs w:val="18"/>
              </w:rPr>
              <w:t>地理</w:t>
            </w:r>
          </w:p>
          <w:p w14:paraId="602BCDFF">
            <w:pPr>
              <w:spacing w:line="240" w:lineRule="auto"/>
              <w:jc w:val="center"/>
              <w:rPr>
                <w:rFonts w:ascii="宋体" w:hAnsi="宋体" w:cs="宋体"/>
                <w:sz w:val="18"/>
                <w:szCs w:val="18"/>
              </w:rPr>
            </w:pPr>
            <w:r>
              <w:rPr>
                <w:rFonts w:hint="eastAsia" w:ascii="宋体" w:hAnsi="宋体" w:cs="宋体"/>
                <w:sz w:val="18"/>
                <w:szCs w:val="18"/>
              </w:rPr>
              <w:t>位置</w:t>
            </w:r>
          </w:p>
        </w:tc>
        <w:tc>
          <w:tcPr>
            <w:tcW w:w="9342" w:type="dxa"/>
            <w:gridSpan w:val="15"/>
            <w:tcBorders>
              <w:top w:val="single" w:color="auto" w:sz="4" w:space="0"/>
              <w:left w:val="single" w:color="auto" w:sz="4" w:space="0"/>
              <w:bottom w:val="single" w:color="auto" w:sz="4" w:space="0"/>
              <w:right w:val="single" w:color="auto" w:sz="4" w:space="0"/>
            </w:tcBorders>
            <w:vAlign w:val="center"/>
          </w:tcPr>
          <w:p w14:paraId="0B8A9CA9">
            <w:pPr>
              <w:spacing w:line="240" w:lineRule="auto"/>
              <w:jc w:val="center"/>
              <w:rPr>
                <w:rFonts w:ascii="宋体" w:hAnsi="宋体"/>
                <w:sz w:val="18"/>
                <w:szCs w:val="18"/>
              </w:rPr>
            </w:pPr>
            <w:r>
              <w:rPr>
                <w:rFonts w:hint="eastAsia" w:ascii="宋体" w:hAnsi="宋体" w:cs="宋体"/>
                <w:sz w:val="18"/>
                <w:szCs w:val="18"/>
              </w:rPr>
              <w:t xml:space="preserve">省（市、区）              县（市、区）        乡（镇）       村   </w:t>
            </w:r>
            <w:r>
              <w:rPr>
                <w:rFonts w:ascii="宋体" w:hAnsi="宋体" w:cs="宋体"/>
                <w:sz w:val="18"/>
                <w:szCs w:val="18"/>
              </w:rPr>
              <w:t xml:space="preserve">  </w:t>
            </w:r>
            <w:r>
              <w:rPr>
                <w:rFonts w:hint="eastAsia" w:ascii="宋体" w:hAnsi="宋体" w:cs="宋体"/>
                <w:sz w:val="18"/>
                <w:szCs w:val="18"/>
              </w:rPr>
              <w:t xml:space="preserve">  组</w:t>
            </w:r>
          </w:p>
        </w:tc>
      </w:tr>
      <w:tr w14:paraId="22BD7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87" w:hRule="atLeast"/>
          <w:jc w:val="center"/>
        </w:trPr>
        <w:tc>
          <w:tcPr>
            <w:tcW w:w="1134" w:type="dxa"/>
            <w:gridSpan w:val="3"/>
            <w:tcBorders>
              <w:top w:val="single" w:color="auto" w:sz="4" w:space="0"/>
              <w:left w:val="single" w:color="auto" w:sz="4" w:space="0"/>
              <w:bottom w:val="single" w:color="auto" w:sz="4" w:space="0"/>
              <w:right w:val="single" w:color="auto" w:sz="4" w:space="0"/>
            </w:tcBorders>
            <w:vAlign w:val="center"/>
          </w:tcPr>
          <w:p w14:paraId="678973AC">
            <w:pPr>
              <w:spacing w:line="240" w:lineRule="auto"/>
              <w:jc w:val="center"/>
              <w:rPr>
                <w:rFonts w:ascii="宋体" w:hAnsi="宋体"/>
                <w:sz w:val="18"/>
                <w:szCs w:val="18"/>
              </w:rPr>
            </w:pPr>
            <w:r>
              <w:rPr>
                <w:rFonts w:hint="eastAsia" w:ascii="宋体" w:hAnsi="宋体" w:cs="宋体"/>
                <w:sz w:val="18"/>
                <w:szCs w:val="18"/>
              </w:rPr>
              <w:t>野外编号</w:t>
            </w:r>
          </w:p>
        </w:tc>
        <w:tc>
          <w:tcPr>
            <w:tcW w:w="2544" w:type="dxa"/>
            <w:gridSpan w:val="3"/>
            <w:tcBorders>
              <w:top w:val="single" w:color="auto" w:sz="4" w:space="0"/>
              <w:left w:val="single" w:color="auto" w:sz="4" w:space="0"/>
              <w:bottom w:val="single" w:color="auto" w:sz="4" w:space="0"/>
              <w:right w:val="single" w:color="auto" w:sz="4" w:space="0"/>
            </w:tcBorders>
            <w:vAlign w:val="center"/>
          </w:tcPr>
          <w:p w14:paraId="1F276EE5">
            <w:pPr>
              <w:spacing w:line="240" w:lineRule="auto"/>
              <w:rPr>
                <w:rFonts w:ascii="宋体" w:hAnsi="宋体"/>
                <w:sz w:val="18"/>
                <w:szCs w:val="18"/>
              </w:rPr>
            </w:pPr>
          </w:p>
        </w:tc>
        <w:tc>
          <w:tcPr>
            <w:tcW w:w="892" w:type="dxa"/>
            <w:gridSpan w:val="2"/>
            <w:vMerge w:val="continue"/>
            <w:tcBorders>
              <w:top w:val="single" w:color="auto" w:sz="4" w:space="0"/>
              <w:left w:val="single" w:color="auto" w:sz="4" w:space="0"/>
              <w:bottom w:val="single" w:color="auto" w:sz="4" w:space="0"/>
              <w:right w:val="single" w:color="auto" w:sz="4" w:space="0"/>
            </w:tcBorders>
            <w:vAlign w:val="center"/>
          </w:tcPr>
          <w:p w14:paraId="46D5FFC3">
            <w:pPr>
              <w:spacing w:line="240" w:lineRule="auto"/>
              <w:rPr>
                <w:rFonts w:ascii="宋体" w:hAnsi="宋体"/>
                <w:sz w:val="18"/>
                <w:szCs w:val="18"/>
              </w:rPr>
            </w:pPr>
          </w:p>
        </w:tc>
        <w:tc>
          <w:tcPr>
            <w:tcW w:w="658" w:type="dxa"/>
            <w:vMerge w:val="restart"/>
            <w:tcBorders>
              <w:top w:val="single" w:color="auto" w:sz="4" w:space="0"/>
              <w:left w:val="single" w:color="auto" w:sz="4" w:space="0"/>
              <w:bottom w:val="single" w:color="auto" w:sz="4" w:space="0"/>
              <w:right w:val="single" w:color="auto" w:sz="4" w:space="0"/>
            </w:tcBorders>
            <w:vAlign w:val="center"/>
          </w:tcPr>
          <w:p w14:paraId="1AC1BB00">
            <w:pPr>
              <w:spacing w:line="240" w:lineRule="auto"/>
              <w:jc w:val="center"/>
              <w:rPr>
                <w:rFonts w:ascii="宋体" w:hAnsi="宋体"/>
                <w:sz w:val="18"/>
                <w:szCs w:val="18"/>
              </w:rPr>
            </w:pPr>
            <w:r>
              <w:rPr>
                <w:rFonts w:hint="eastAsia" w:ascii="宋体" w:hAnsi="宋体" w:cs="宋体"/>
                <w:sz w:val="18"/>
                <w:szCs w:val="18"/>
              </w:rPr>
              <w:t>座标</w:t>
            </w:r>
          </w:p>
        </w:tc>
        <w:tc>
          <w:tcPr>
            <w:tcW w:w="2204" w:type="dxa"/>
            <w:gridSpan w:val="4"/>
            <w:tcBorders>
              <w:top w:val="single" w:color="auto" w:sz="4" w:space="0"/>
              <w:left w:val="single" w:color="auto" w:sz="4" w:space="0"/>
              <w:bottom w:val="single" w:color="auto" w:sz="4" w:space="0"/>
              <w:right w:val="single" w:color="auto" w:sz="4" w:space="0"/>
            </w:tcBorders>
            <w:vAlign w:val="center"/>
          </w:tcPr>
          <w:p w14:paraId="152FBCB4">
            <w:pPr>
              <w:spacing w:line="240" w:lineRule="auto"/>
              <w:rPr>
                <w:rFonts w:ascii="宋体" w:hAnsi="宋体"/>
                <w:sz w:val="18"/>
                <w:szCs w:val="18"/>
              </w:rPr>
            </w:pPr>
            <w:r>
              <w:rPr>
                <w:rFonts w:hint="eastAsia" w:ascii="宋体" w:hAnsi="宋体" w:cs="宋体"/>
                <w:sz w:val="18"/>
                <w:szCs w:val="18"/>
              </w:rPr>
              <w:t>经度：</w:t>
            </w:r>
          </w:p>
        </w:tc>
        <w:tc>
          <w:tcPr>
            <w:tcW w:w="2046" w:type="dxa"/>
            <w:gridSpan w:val="3"/>
            <w:tcBorders>
              <w:top w:val="single" w:color="auto" w:sz="4" w:space="0"/>
              <w:left w:val="single" w:color="auto" w:sz="4" w:space="0"/>
              <w:bottom w:val="single" w:color="auto" w:sz="4" w:space="0"/>
              <w:right w:val="single" w:color="auto" w:sz="4" w:space="0"/>
            </w:tcBorders>
            <w:vAlign w:val="center"/>
          </w:tcPr>
          <w:p w14:paraId="636706BA">
            <w:pPr>
              <w:spacing w:line="240" w:lineRule="auto"/>
              <w:rPr>
                <w:rFonts w:ascii="宋体" w:hAnsi="宋体"/>
                <w:sz w:val="18"/>
                <w:szCs w:val="18"/>
              </w:rPr>
            </w:pPr>
            <w:r>
              <w:rPr>
                <w:rFonts w:ascii="宋体" w:hAnsi="宋体"/>
                <w:sz w:val="18"/>
                <w:szCs w:val="18"/>
              </w:rPr>
              <w:t>X</w:t>
            </w:r>
            <w:r>
              <w:rPr>
                <w:rFonts w:hint="eastAsia" w:ascii="宋体" w:hAnsi="宋体" w:cs="宋体"/>
                <w:sz w:val="18"/>
                <w:szCs w:val="18"/>
              </w:rPr>
              <w:t>：</w:t>
            </w:r>
          </w:p>
        </w:tc>
        <w:tc>
          <w:tcPr>
            <w:tcW w:w="1311" w:type="dxa"/>
            <w:gridSpan w:val="3"/>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14:paraId="0279F666">
            <w:pPr>
              <w:spacing w:line="240" w:lineRule="auto"/>
              <w:jc w:val="center"/>
              <w:rPr>
                <w:rFonts w:ascii="宋体" w:hAnsi="宋体"/>
                <w:sz w:val="18"/>
                <w:szCs w:val="18"/>
              </w:rPr>
            </w:pPr>
            <w:r>
              <w:rPr>
                <w:rFonts w:hint="eastAsia" w:ascii="宋体" w:hAnsi="宋体" w:cs="宋体"/>
                <w:sz w:val="18"/>
                <w:szCs w:val="18"/>
              </w:rPr>
              <w:t>标高</w:t>
            </w:r>
          </w:p>
        </w:tc>
        <w:tc>
          <w:tcPr>
            <w:tcW w:w="3123" w:type="dxa"/>
            <w:gridSpan w:val="4"/>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14:paraId="1BEE5EF4">
            <w:pPr>
              <w:spacing w:line="240" w:lineRule="auto"/>
              <w:rPr>
                <w:rFonts w:ascii="宋体" w:hAnsi="宋体"/>
                <w:sz w:val="18"/>
                <w:szCs w:val="18"/>
              </w:rPr>
            </w:pPr>
            <w:r>
              <w:rPr>
                <w:rFonts w:hint="eastAsia" w:ascii="宋体" w:hAnsi="宋体"/>
                <w:sz w:val="18"/>
                <w:szCs w:val="18"/>
              </w:rPr>
              <w:t xml:space="preserve">                        m</w:t>
            </w:r>
          </w:p>
        </w:tc>
      </w:tr>
      <w:tr w14:paraId="4D9EE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20" w:hRule="atLeast"/>
          <w:jc w:val="center"/>
        </w:trPr>
        <w:tc>
          <w:tcPr>
            <w:tcW w:w="1134" w:type="dxa"/>
            <w:gridSpan w:val="3"/>
            <w:tcBorders>
              <w:top w:val="single" w:color="auto" w:sz="4" w:space="0"/>
              <w:left w:val="single" w:color="auto" w:sz="4" w:space="0"/>
              <w:bottom w:val="single" w:color="auto" w:sz="4" w:space="0"/>
              <w:right w:val="single" w:color="auto" w:sz="4" w:space="0"/>
            </w:tcBorders>
            <w:vAlign w:val="center"/>
          </w:tcPr>
          <w:p w14:paraId="5A828835">
            <w:pPr>
              <w:spacing w:line="240" w:lineRule="auto"/>
              <w:jc w:val="center"/>
              <w:rPr>
                <w:rFonts w:ascii="宋体" w:hAnsi="宋体"/>
                <w:sz w:val="18"/>
                <w:szCs w:val="18"/>
              </w:rPr>
            </w:pPr>
            <w:r>
              <w:rPr>
                <w:rFonts w:hint="eastAsia" w:ascii="宋体" w:hAnsi="宋体"/>
                <w:sz w:val="18"/>
                <w:szCs w:val="18"/>
              </w:rPr>
              <w:t>统一编号</w:t>
            </w:r>
          </w:p>
        </w:tc>
        <w:tc>
          <w:tcPr>
            <w:tcW w:w="2544" w:type="dxa"/>
            <w:gridSpan w:val="3"/>
            <w:tcBorders>
              <w:top w:val="single" w:color="auto" w:sz="4" w:space="0"/>
              <w:left w:val="single" w:color="auto" w:sz="4" w:space="0"/>
              <w:bottom w:val="single" w:color="auto" w:sz="4" w:space="0"/>
              <w:right w:val="single" w:color="auto" w:sz="4" w:space="0"/>
            </w:tcBorders>
            <w:vAlign w:val="center"/>
          </w:tcPr>
          <w:p w14:paraId="5CB03484">
            <w:pPr>
              <w:spacing w:line="240" w:lineRule="auto"/>
              <w:rPr>
                <w:rFonts w:ascii="宋体" w:hAnsi="宋体"/>
                <w:sz w:val="18"/>
                <w:szCs w:val="18"/>
              </w:rPr>
            </w:pPr>
          </w:p>
        </w:tc>
        <w:tc>
          <w:tcPr>
            <w:tcW w:w="892" w:type="dxa"/>
            <w:gridSpan w:val="2"/>
            <w:vMerge w:val="continue"/>
            <w:tcBorders>
              <w:top w:val="single" w:color="auto" w:sz="4" w:space="0"/>
              <w:left w:val="single" w:color="auto" w:sz="4" w:space="0"/>
              <w:bottom w:val="single" w:color="auto" w:sz="4" w:space="0"/>
              <w:right w:val="single" w:color="auto" w:sz="4" w:space="0"/>
            </w:tcBorders>
            <w:vAlign w:val="center"/>
          </w:tcPr>
          <w:p w14:paraId="6EDB8EEE">
            <w:pPr>
              <w:spacing w:line="240" w:lineRule="auto"/>
              <w:rPr>
                <w:rFonts w:ascii="宋体" w:hAnsi="宋体"/>
                <w:sz w:val="18"/>
                <w:szCs w:val="18"/>
              </w:rPr>
            </w:pPr>
          </w:p>
        </w:tc>
        <w:tc>
          <w:tcPr>
            <w:tcW w:w="658" w:type="dxa"/>
            <w:vMerge w:val="continue"/>
            <w:tcBorders>
              <w:top w:val="single" w:color="auto" w:sz="4" w:space="0"/>
              <w:left w:val="single" w:color="auto" w:sz="4" w:space="0"/>
              <w:bottom w:val="single" w:color="auto" w:sz="4" w:space="0"/>
              <w:right w:val="single" w:color="auto" w:sz="4" w:space="0"/>
            </w:tcBorders>
            <w:vAlign w:val="center"/>
          </w:tcPr>
          <w:p w14:paraId="78073EA3">
            <w:pPr>
              <w:spacing w:line="240" w:lineRule="auto"/>
              <w:rPr>
                <w:rFonts w:ascii="宋体" w:hAnsi="宋体"/>
                <w:sz w:val="18"/>
                <w:szCs w:val="18"/>
              </w:rPr>
            </w:pPr>
          </w:p>
        </w:tc>
        <w:tc>
          <w:tcPr>
            <w:tcW w:w="2204" w:type="dxa"/>
            <w:gridSpan w:val="4"/>
            <w:tcBorders>
              <w:top w:val="single" w:color="auto" w:sz="4" w:space="0"/>
              <w:left w:val="single" w:color="auto" w:sz="4" w:space="0"/>
              <w:bottom w:val="single" w:color="auto" w:sz="4" w:space="0"/>
              <w:right w:val="single" w:color="auto" w:sz="4" w:space="0"/>
            </w:tcBorders>
            <w:vAlign w:val="center"/>
          </w:tcPr>
          <w:p w14:paraId="48FAEEEC">
            <w:pPr>
              <w:spacing w:line="240" w:lineRule="auto"/>
              <w:rPr>
                <w:rFonts w:ascii="宋体" w:hAnsi="宋体"/>
                <w:sz w:val="18"/>
                <w:szCs w:val="18"/>
              </w:rPr>
            </w:pPr>
            <w:r>
              <w:rPr>
                <w:rFonts w:hint="eastAsia" w:ascii="宋体" w:hAnsi="宋体" w:cs="宋体"/>
                <w:sz w:val="18"/>
                <w:szCs w:val="18"/>
              </w:rPr>
              <w:t>纬度：</w:t>
            </w:r>
          </w:p>
        </w:tc>
        <w:tc>
          <w:tcPr>
            <w:tcW w:w="2046" w:type="dxa"/>
            <w:gridSpan w:val="3"/>
            <w:tcBorders>
              <w:top w:val="single" w:color="auto" w:sz="4" w:space="0"/>
              <w:left w:val="single" w:color="auto" w:sz="4" w:space="0"/>
              <w:bottom w:val="single" w:color="auto" w:sz="4" w:space="0"/>
              <w:right w:val="single" w:color="auto" w:sz="4" w:space="0"/>
            </w:tcBorders>
            <w:vAlign w:val="center"/>
          </w:tcPr>
          <w:p w14:paraId="5DACA960">
            <w:pPr>
              <w:spacing w:line="240" w:lineRule="auto"/>
              <w:rPr>
                <w:rFonts w:ascii="宋体" w:hAnsi="宋体"/>
                <w:sz w:val="18"/>
                <w:szCs w:val="18"/>
              </w:rPr>
            </w:pPr>
            <w:r>
              <w:rPr>
                <w:rFonts w:ascii="宋体" w:hAnsi="宋体"/>
                <w:sz w:val="18"/>
                <w:szCs w:val="18"/>
              </w:rPr>
              <w:t>Y</w:t>
            </w:r>
            <w:r>
              <w:rPr>
                <w:rFonts w:hint="eastAsia" w:ascii="宋体" w:hAnsi="宋体" w:cs="宋体"/>
                <w:sz w:val="18"/>
                <w:szCs w:val="18"/>
              </w:rPr>
              <w:t>：</w:t>
            </w:r>
          </w:p>
        </w:tc>
        <w:tc>
          <w:tcPr>
            <w:tcW w:w="1311" w:type="dxa"/>
            <w:gridSpan w:val="3"/>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43EAB951">
            <w:pPr>
              <w:spacing w:line="240" w:lineRule="auto"/>
              <w:rPr>
                <w:rFonts w:ascii="宋体" w:hAnsi="宋体"/>
                <w:sz w:val="18"/>
                <w:szCs w:val="18"/>
              </w:rPr>
            </w:pPr>
          </w:p>
        </w:tc>
        <w:tc>
          <w:tcPr>
            <w:tcW w:w="3123" w:type="dxa"/>
            <w:gridSpan w:val="4"/>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1ED4326B">
            <w:pPr>
              <w:spacing w:line="240" w:lineRule="auto"/>
              <w:rPr>
                <w:rFonts w:ascii="宋体" w:hAnsi="宋体"/>
                <w:sz w:val="18"/>
                <w:szCs w:val="18"/>
              </w:rPr>
            </w:pPr>
          </w:p>
        </w:tc>
      </w:tr>
      <w:tr w14:paraId="0B67C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38" w:hRule="atLeast"/>
          <w:jc w:val="center"/>
        </w:trPr>
        <w:tc>
          <w:tcPr>
            <w:tcW w:w="517" w:type="dxa"/>
            <w:gridSpan w:val="2"/>
            <w:vMerge w:val="restart"/>
            <w:tcBorders>
              <w:top w:val="single" w:color="auto" w:sz="4" w:space="0"/>
              <w:left w:val="single" w:color="auto" w:sz="4" w:space="0"/>
              <w:bottom w:val="single" w:color="auto" w:sz="4" w:space="0"/>
              <w:right w:val="single" w:color="auto" w:sz="4" w:space="0"/>
            </w:tcBorders>
            <w:vAlign w:val="center"/>
          </w:tcPr>
          <w:p w14:paraId="64D50C0B">
            <w:pPr>
              <w:spacing w:line="240" w:lineRule="auto"/>
              <w:jc w:val="center"/>
              <w:rPr>
                <w:rFonts w:ascii="宋体" w:hAnsi="宋体"/>
                <w:sz w:val="18"/>
                <w:szCs w:val="18"/>
              </w:rPr>
            </w:pPr>
            <w:r>
              <w:rPr>
                <w:rFonts w:hint="eastAsia" w:ascii="宋体" w:hAnsi="宋体" w:cs="宋体"/>
                <w:sz w:val="18"/>
                <w:szCs w:val="18"/>
              </w:rPr>
              <w:t>发</w:t>
            </w:r>
          </w:p>
          <w:p w14:paraId="5C3BF755">
            <w:pPr>
              <w:spacing w:line="240" w:lineRule="auto"/>
              <w:jc w:val="center"/>
              <w:rPr>
                <w:rFonts w:ascii="宋体" w:hAnsi="宋体"/>
                <w:sz w:val="18"/>
                <w:szCs w:val="18"/>
              </w:rPr>
            </w:pPr>
            <w:r>
              <w:rPr>
                <w:rFonts w:hint="eastAsia" w:ascii="宋体" w:hAnsi="宋体" w:cs="宋体"/>
                <w:sz w:val="18"/>
                <w:szCs w:val="18"/>
              </w:rPr>
              <w:t>育</w:t>
            </w:r>
          </w:p>
          <w:p w14:paraId="038C62F5">
            <w:pPr>
              <w:spacing w:line="240" w:lineRule="auto"/>
              <w:jc w:val="center"/>
              <w:rPr>
                <w:rFonts w:ascii="宋体" w:hAnsi="宋体"/>
                <w:sz w:val="18"/>
                <w:szCs w:val="18"/>
              </w:rPr>
            </w:pPr>
            <w:r>
              <w:rPr>
                <w:rFonts w:hint="eastAsia" w:ascii="宋体" w:hAnsi="宋体" w:cs="宋体"/>
                <w:sz w:val="18"/>
                <w:szCs w:val="18"/>
              </w:rPr>
              <w:t>特</w:t>
            </w:r>
          </w:p>
          <w:p w14:paraId="3BBCF3C5">
            <w:pPr>
              <w:spacing w:line="240" w:lineRule="auto"/>
              <w:jc w:val="center"/>
              <w:rPr>
                <w:rFonts w:ascii="宋体" w:hAnsi="宋体"/>
                <w:sz w:val="18"/>
                <w:szCs w:val="18"/>
              </w:rPr>
            </w:pPr>
            <w:r>
              <w:rPr>
                <w:rFonts w:hint="eastAsia" w:ascii="宋体" w:hAnsi="宋体" w:cs="宋体"/>
                <w:sz w:val="18"/>
                <w:szCs w:val="18"/>
              </w:rPr>
              <w:t>征</w:t>
            </w:r>
          </w:p>
        </w:tc>
        <w:tc>
          <w:tcPr>
            <w:tcW w:w="617" w:type="dxa"/>
            <w:vMerge w:val="restart"/>
            <w:tcBorders>
              <w:top w:val="single" w:color="auto" w:sz="4" w:space="0"/>
              <w:left w:val="single" w:color="auto" w:sz="4" w:space="0"/>
              <w:bottom w:val="single" w:color="auto" w:sz="4" w:space="0"/>
              <w:right w:val="single" w:color="auto" w:sz="4" w:space="0"/>
            </w:tcBorders>
            <w:vAlign w:val="center"/>
          </w:tcPr>
          <w:p w14:paraId="5AE0B132">
            <w:pPr>
              <w:spacing w:line="240" w:lineRule="auto"/>
              <w:jc w:val="center"/>
              <w:rPr>
                <w:rFonts w:ascii="宋体" w:hAnsi="宋体"/>
                <w:sz w:val="18"/>
                <w:szCs w:val="18"/>
              </w:rPr>
            </w:pPr>
            <w:r>
              <w:rPr>
                <w:rFonts w:hint="eastAsia" w:ascii="宋体" w:hAnsi="宋体" w:cs="宋体"/>
                <w:sz w:val="18"/>
                <w:szCs w:val="18"/>
              </w:rPr>
              <w:t>单缝</w:t>
            </w:r>
          </w:p>
          <w:p w14:paraId="78FAA2D4">
            <w:pPr>
              <w:spacing w:line="240" w:lineRule="auto"/>
              <w:jc w:val="center"/>
              <w:rPr>
                <w:rFonts w:ascii="宋体" w:hAnsi="宋体"/>
                <w:sz w:val="18"/>
                <w:szCs w:val="18"/>
              </w:rPr>
            </w:pPr>
            <w:r>
              <w:rPr>
                <w:rFonts w:hint="eastAsia" w:ascii="宋体" w:hAnsi="宋体" w:cs="宋体"/>
                <w:sz w:val="18"/>
                <w:szCs w:val="18"/>
              </w:rPr>
              <w:t>特征</w:t>
            </w:r>
          </w:p>
        </w:tc>
        <w:tc>
          <w:tcPr>
            <w:tcW w:w="553" w:type="dxa"/>
            <w:tcBorders>
              <w:top w:val="single" w:color="auto" w:sz="4" w:space="0"/>
              <w:left w:val="single" w:color="auto" w:sz="4" w:space="0"/>
              <w:bottom w:val="single" w:color="auto" w:sz="4" w:space="0"/>
              <w:right w:val="single" w:color="auto" w:sz="4" w:space="0"/>
            </w:tcBorders>
            <w:vAlign w:val="center"/>
          </w:tcPr>
          <w:p w14:paraId="42458CC9">
            <w:pPr>
              <w:spacing w:line="240" w:lineRule="auto"/>
              <w:jc w:val="center"/>
              <w:rPr>
                <w:rFonts w:ascii="宋体" w:hAnsi="宋体"/>
                <w:sz w:val="18"/>
                <w:szCs w:val="18"/>
              </w:rPr>
            </w:pPr>
            <w:r>
              <w:rPr>
                <w:rFonts w:hint="eastAsia" w:ascii="宋体" w:hAnsi="宋体" w:cs="宋体"/>
                <w:sz w:val="18"/>
                <w:szCs w:val="18"/>
              </w:rPr>
              <w:t>缝号</w:t>
            </w:r>
          </w:p>
        </w:tc>
        <w:tc>
          <w:tcPr>
            <w:tcW w:w="1991" w:type="dxa"/>
            <w:gridSpan w:val="2"/>
            <w:tcBorders>
              <w:top w:val="single" w:color="auto" w:sz="4" w:space="0"/>
              <w:left w:val="single" w:color="auto" w:sz="4" w:space="0"/>
              <w:bottom w:val="single" w:color="auto" w:sz="4" w:space="0"/>
              <w:right w:val="single" w:color="auto" w:sz="4" w:space="0"/>
            </w:tcBorders>
            <w:vAlign w:val="center"/>
          </w:tcPr>
          <w:p w14:paraId="0136D8E9">
            <w:pPr>
              <w:spacing w:line="240" w:lineRule="auto"/>
              <w:jc w:val="center"/>
              <w:rPr>
                <w:rFonts w:ascii="宋体" w:hAnsi="宋体"/>
                <w:sz w:val="18"/>
                <w:szCs w:val="18"/>
              </w:rPr>
            </w:pPr>
            <w:r>
              <w:rPr>
                <w:rFonts w:hint="eastAsia" w:ascii="宋体" w:hAnsi="宋体" w:cs="宋体"/>
                <w:sz w:val="18"/>
                <w:szCs w:val="18"/>
              </w:rPr>
              <w:t>形态</w:t>
            </w:r>
          </w:p>
        </w:tc>
        <w:tc>
          <w:tcPr>
            <w:tcW w:w="892" w:type="dxa"/>
            <w:gridSpan w:val="2"/>
            <w:tcBorders>
              <w:top w:val="single" w:color="auto" w:sz="4" w:space="0"/>
              <w:left w:val="single" w:color="auto" w:sz="4" w:space="0"/>
              <w:bottom w:val="single" w:color="auto" w:sz="4" w:space="0"/>
              <w:right w:val="single" w:color="auto" w:sz="4" w:space="0"/>
            </w:tcBorders>
            <w:vAlign w:val="center"/>
          </w:tcPr>
          <w:p w14:paraId="302C069D">
            <w:pPr>
              <w:spacing w:line="240" w:lineRule="auto"/>
              <w:jc w:val="center"/>
              <w:rPr>
                <w:rFonts w:ascii="宋体" w:hAnsi="宋体" w:cs="宋体"/>
                <w:sz w:val="18"/>
                <w:szCs w:val="18"/>
              </w:rPr>
            </w:pPr>
            <w:r>
              <w:rPr>
                <w:rFonts w:hint="eastAsia" w:ascii="宋体" w:hAnsi="宋体" w:cs="宋体"/>
                <w:sz w:val="18"/>
                <w:szCs w:val="18"/>
              </w:rPr>
              <w:t>延伸性</w:t>
            </w:r>
          </w:p>
        </w:tc>
        <w:tc>
          <w:tcPr>
            <w:tcW w:w="658" w:type="dxa"/>
            <w:tcBorders>
              <w:top w:val="single" w:color="auto" w:sz="4" w:space="0"/>
              <w:left w:val="single" w:color="auto" w:sz="4" w:space="0"/>
              <w:bottom w:val="single" w:color="auto" w:sz="4" w:space="0"/>
              <w:right w:val="single" w:color="auto" w:sz="4" w:space="0"/>
            </w:tcBorders>
            <w:vAlign w:val="center"/>
          </w:tcPr>
          <w:p w14:paraId="24066FB5">
            <w:pPr>
              <w:spacing w:line="240" w:lineRule="auto"/>
              <w:jc w:val="center"/>
              <w:rPr>
                <w:rFonts w:ascii="宋体" w:hAnsi="宋体"/>
                <w:sz w:val="18"/>
                <w:szCs w:val="18"/>
              </w:rPr>
            </w:pPr>
            <w:r>
              <w:rPr>
                <w:rFonts w:hint="eastAsia" w:ascii="宋体" w:hAnsi="宋体" w:cs="宋体"/>
                <w:sz w:val="18"/>
                <w:szCs w:val="18"/>
              </w:rPr>
              <w:t>倾向</w:t>
            </w:r>
          </w:p>
        </w:tc>
        <w:tc>
          <w:tcPr>
            <w:tcW w:w="821" w:type="dxa"/>
            <w:tcBorders>
              <w:top w:val="single" w:color="auto" w:sz="4" w:space="0"/>
              <w:left w:val="single" w:color="auto" w:sz="4" w:space="0"/>
              <w:bottom w:val="single" w:color="auto" w:sz="4" w:space="0"/>
              <w:right w:val="single" w:color="auto" w:sz="4" w:space="0"/>
            </w:tcBorders>
            <w:vAlign w:val="center"/>
          </w:tcPr>
          <w:p w14:paraId="25F83A5A">
            <w:pPr>
              <w:spacing w:line="240" w:lineRule="auto"/>
              <w:jc w:val="center"/>
              <w:rPr>
                <w:rFonts w:ascii="宋体" w:hAnsi="宋体"/>
                <w:sz w:val="18"/>
                <w:szCs w:val="18"/>
              </w:rPr>
            </w:pPr>
            <w:r>
              <w:rPr>
                <w:rFonts w:hint="eastAsia" w:ascii="宋体" w:hAnsi="宋体" w:cs="宋体"/>
                <w:sz w:val="18"/>
                <w:szCs w:val="18"/>
              </w:rPr>
              <w:t>倾角</w:t>
            </w:r>
          </w:p>
        </w:tc>
        <w:tc>
          <w:tcPr>
            <w:tcW w:w="690" w:type="dxa"/>
            <w:tcBorders>
              <w:top w:val="single" w:color="auto" w:sz="4" w:space="0"/>
              <w:left w:val="single" w:color="auto" w:sz="4" w:space="0"/>
              <w:bottom w:val="single" w:color="auto" w:sz="4" w:space="0"/>
              <w:right w:val="single" w:color="auto" w:sz="4" w:space="0"/>
            </w:tcBorders>
            <w:vAlign w:val="center"/>
          </w:tcPr>
          <w:p w14:paraId="3EE34462">
            <w:pPr>
              <w:spacing w:line="240" w:lineRule="auto"/>
              <w:jc w:val="center"/>
              <w:rPr>
                <w:rFonts w:ascii="宋体" w:hAnsi="宋体"/>
                <w:sz w:val="18"/>
                <w:szCs w:val="18"/>
              </w:rPr>
            </w:pPr>
            <w:r>
              <w:rPr>
                <w:rFonts w:hint="eastAsia" w:ascii="宋体" w:hAnsi="宋体" w:cs="宋体"/>
                <w:sz w:val="18"/>
                <w:szCs w:val="18"/>
              </w:rPr>
              <w:t>长度</w:t>
            </w:r>
          </w:p>
        </w:tc>
        <w:tc>
          <w:tcPr>
            <w:tcW w:w="693" w:type="dxa"/>
            <w:gridSpan w:val="2"/>
            <w:tcBorders>
              <w:top w:val="single" w:color="auto" w:sz="4" w:space="0"/>
              <w:left w:val="single" w:color="auto" w:sz="4" w:space="0"/>
              <w:bottom w:val="single" w:color="auto" w:sz="4" w:space="0"/>
              <w:right w:val="single" w:color="auto" w:sz="4" w:space="0"/>
            </w:tcBorders>
            <w:vAlign w:val="center"/>
          </w:tcPr>
          <w:p w14:paraId="2FC32FD8">
            <w:pPr>
              <w:spacing w:line="240" w:lineRule="auto"/>
              <w:jc w:val="center"/>
              <w:rPr>
                <w:rFonts w:ascii="宋体" w:hAnsi="宋体"/>
                <w:sz w:val="18"/>
                <w:szCs w:val="18"/>
              </w:rPr>
            </w:pPr>
            <w:r>
              <w:rPr>
                <w:rFonts w:hint="eastAsia" w:ascii="宋体" w:hAnsi="宋体" w:cs="宋体"/>
                <w:sz w:val="18"/>
                <w:szCs w:val="18"/>
              </w:rPr>
              <w:t>宽度</w:t>
            </w:r>
          </w:p>
        </w:tc>
        <w:tc>
          <w:tcPr>
            <w:tcW w:w="690" w:type="dxa"/>
            <w:tcBorders>
              <w:top w:val="single" w:color="auto" w:sz="4" w:space="0"/>
              <w:left w:val="single" w:color="auto" w:sz="4" w:space="0"/>
              <w:bottom w:val="single" w:color="auto" w:sz="4" w:space="0"/>
              <w:right w:val="single" w:color="auto" w:sz="4" w:space="0"/>
            </w:tcBorders>
            <w:vAlign w:val="center"/>
          </w:tcPr>
          <w:p w14:paraId="6E0F3128">
            <w:pPr>
              <w:spacing w:line="240" w:lineRule="auto"/>
              <w:jc w:val="center"/>
              <w:rPr>
                <w:rFonts w:ascii="宋体" w:hAnsi="宋体"/>
                <w:sz w:val="18"/>
                <w:szCs w:val="18"/>
              </w:rPr>
            </w:pPr>
            <w:r>
              <w:rPr>
                <w:rFonts w:hint="eastAsia" w:ascii="宋体" w:hAnsi="宋体" w:cs="宋体"/>
                <w:sz w:val="18"/>
                <w:szCs w:val="18"/>
              </w:rPr>
              <w:t>深度</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57DDB481">
            <w:pPr>
              <w:spacing w:line="240" w:lineRule="auto"/>
              <w:jc w:val="center"/>
              <w:rPr>
                <w:rFonts w:ascii="宋体" w:hAnsi="宋体"/>
                <w:sz w:val="18"/>
                <w:szCs w:val="18"/>
              </w:rPr>
            </w:pPr>
            <w:r>
              <w:rPr>
                <w:rFonts w:hint="eastAsia" w:ascii="宋体" w:hAnsi="宋体" w:cs="宋体"/>
                <w:sz w:val="18"/>
                <w:szCs w:val="18"/>
              </w:rPr>
              <w:t>性质</w:t>
            </w:r>
          </w:p>
        </w:tc>
        <w:tc>
          <w:tcPr>
            <w:tcW w:w="1311" w:type="dxa"/>
            <w:gridSpan w:val="3"/>
            <w:tcBorders>
              <w:top w:val="single" w:color="auto" w:sz="4" w:space="0"/>
              <w:left w:val="single" w:color="auto" w:sz="4" w:space="0"/>
              <w:bottom w:val="single" w:color="auto" w:sz="4" w:space="0"/>
              <w:right w:val="single" w:color="auto" w:sz="4" w:space="0"/>
            </w:tcBorders>
            <w:vAlign w:val="center"/>
          </w:tcPr>
          <w:p w14:paraId="6F62A522">
            <w:pPr>
              <w:spacing w:line="240" w:lineRule="auto"/>
              <w:jc w:val="center"/>
              <w:rPr>
                <w:rFonts w:ascii="宋体" w:hAnsi="宋体"/>
                <w:sz w:val="18"/>
                <w:szCs w:val="18"/>
              </w:rPr>
            </w:pPr>
            <w:r>
              <w:rPr>
                <w:rFonts w:hint="eastAsia" w:ascii="宋体" w:hAnsi="宋体" w:cs="宋体"/>
                <w:sz w:val="18"/>
                <w:szCs w:val="18"/>
              </w:rPr>
              <w:t>位移（错）量</w:t>
            </w:r>
          </w:p>
        </w:tc>
        <w:tc>
          <w:tcPr>
            <w:tcW w:w="795" w:type="dxa"/>
            <w:gridSpan w:val="2"/>
            <w:tcBorders>
              <w:top w:val="single" w:color="auto" w:sz="4" w:space="0"/>
              <w:left w:val="single" w:color="auto" w:sz="4" w:space="0"/>
              <w:bottom w:val="single" w:color="auto" w:sz="4" w:space="0"/>
              <w:right w:val="single" w:color="auto" w:sz="4" w:space="0"/>
            </w:tcBorders>
            <w:vAlign w:val="center"/>
          </w:tcPr>
          <w:p w14:paraId="3665F540">
            <w:pPr>
              <w:spacing w:line="240" w:lineRule="auto"/>
              <w:jc w:val="center"/>
              <w:rPr>
                <w:rFonts w:ascii="宋体" w:hAnsi="宋体"/>
                <w:sz w:val="18"/>
                <w:szCs w:val="18"/>
              </w:rPr>
            </w:pPr>
            <w:r>
              <w:rPr>
                <w:rFonts w:hint="eastAsia" w:ascii="宋体" w:hAnsi="宋体" w:cs="宋体"/>
                <w:sz w:val="18"/>
                <w:szCs w:val="18"/>
              </w:rPr>
              <w:t>填充物</w:t>
            </w:r>
          </w:p>
        </w:tc>
        <w:tc>
          <w:tcPr>
            <w:tcW w:w="2328" w:type="dxa"/>
            <w:gridSpan w:val="2"/>
            <w:tcBorders>
              <w:top w:val="single" w:color="auto" w:sz="4" w:space="0"/>
              <w:left w:val="single" w:color="auto" w:sz="4" w:space="0"/>
              <w:bottom w:val="single" w:color="auto" w:sz="4" w:space="0"/>
              <w:right w:val="single" w:color="auto" w:sz="4" w:space="0"/>
            </w:tcBorders>
            <w:vAlign w:val="center"/>
          </w:tcPr>
          <w:p w14:paraId="007E614F">
            <w:pPr>
              <w:spacing w:line="240" w:lineRule="auto"/>
              <w:jc w:val="center"/>
              <w:rPr>
                <w:rFonts w:ascii="宋体" w:hAnsi="宋体"/>
                <w:sz w:val="18"/>
                <w:szCs w:val="18"/>
              </w:rPr>
            </w:pPr>
            <w:r>
              <w:rPr>
                <w:rFonts w:hint="eastAsia" w:ascii="宋体" w:hAnsi="宋体" w:cs="宋体"/>
                <w:sz w:val="18"/>
                <w:szCs w:val="18"/>
              </w:rPr>
              <w:t>出现时间及活动性</w:t>
            </w:r>
          </w:p>
        </w:tc>
      </w:tr>
      <w:tr w14:paraId="3399F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95"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27E3746D">
            <w:pPr>
              <w:spacing w:line="240" w:lineRule="auto"/>
              <w:rPr>
                <w:rFonts w:ascii="宋体" w:hAnsi="宋体"/>
                <w:sz w:val="18"/>
                <w:szCs w:val="18"/>
              </w:rPr>
            </w:pPr>
          </w:p>
        </w:tc>
        <w:tc>
          <w:tcPr>
            <w:tcW w:w="617" w:type="dxa"/>
            <w:vMerge w:val="continue"/>
            <w:tcBorders>
              <w:top w:val="single" w:color="auto" w:sz="4" w:space="0"/>
              <w:left w:val="single" w:color="auto" w:sz="4" w:space="0"/>
              <w:bottom w:val="single" w:color="auto" w:sz="4" w:space="0"/>
              <w:right w:val="single" w:color="auto" w:sz="4" w:space="0"/>
            </w:tcBorders>
            <w:vAlign w:val="center"/>
          </w:tcPr>
          <w:p w14:paraId="5BF64C21">
            <w:pPr>
              <w:spacing w:line="240" w:lineRule="auto"/>
              <w:rPr>
                <w:rFonts w:ascii="宋体" w:hAnsi="宋体"/>
                <w:sz w:val="18"/>
                <w:szCs w:val="18"/>
              </w:rPr>
            </w:pPr>
          </w:p>
        </w:tc>
        <w:tc>
          <w:tcPr>
            <w:tcW w:w="553" w:type="dxa"/>
            <w:tcBorders>
              <w:top w:val="single" w:color="auto" w:sz="4" w:space="0"/>
              <w:left w:val="single" w:color="auto" w:sz="4" w:space="0"/>
              <w:right w:val="single" w:color="auto" w:sz="4" w:space="0"/>
            </w:tcBorders>
            <w:vAlign w:val="center"/>
          </w:tcPr>
          <w:p w14:paraId="12D37DF9">
            <w:pPr>
              <w:spacing w:line="240" w:lineRule="auto"/>
              <w:jc w:val="center"/>
              <w:rPr>
                <w:rFonts w:ascii="宋体" w:hAnsi="宋体"/>
                <w:sz w:val="18"/>
                <w:szCs w:val="18"/>
              </w:rPr>
            </w:pPr>
          </w:p>
        </w:tc>
        <w:tc>
          <w:tcPr>
            <w:tcW w:w="1991" w:type="dxa"/>
            <w:gridSpan w:val="2"/>
            <w:tcBorders>
              <w:top w:val="single" w:color="auto" w:sz="4" w:space="0"/>
              <w:left w:val="single" w:color="auto" w:sz="4" w:space="0"/>
              <w:right w:val="single" w:color="auto" w:sz="4" w:space="0"/>
            </w:tcBorders>
            <w:vAlign w:val="center"/>
          </w:tcPr>
          <w:p w14:paraId="56946B82">
            <w:pPr>
              <w:spacing w:line="240" w:lineRule="auto"/>
              <w:rPr>
                <w:rFonts w:ascii="宋体" w:hAnsi="宋体" w:cs="宋体"/>
                <w:sz w:val="18"/>
                <w:szCs w:val="18"/>
              </w:rPr>
            </w:pPr>
            <w:r>
              <w:rPr>
                <w:rFonts w:hint="eastAsia" w:ascii="宋体" w:hAnsi="宋体" w:cs="宋体"/>
                <w:sz w:val="18"/>
                <w:szCs w:val="18"/>
              </w:rPr>
              <w:t>□直线</w:t>
            </w:r>
          </w:p>
          <w:p w14:paraId="16ED40F5">
            <w:pPr>
              <w:spacing w:line="240" w:lineRule="auto"/>
              <w:rPr>
                <w:rFonts w:ascii="宋体" w:hAnsi="宋体" w:cs="宋体"/>
                <w:sz w:val="18"/>
                <w:szCs w:val="18"/>
              </w:rPr>
            </w:pPr>
            <w:r>
              <w:rPr>
                <w:rFonts w:hint="eastAsia" w:ascii="宋体" w:hAnsi="宋体" w:cs="宋体"/>
                <w:sz w:val="18"/>
                <w:szCs w:val="18"/>
              </w:rPr>
              <w:t>□折线</w:t>
            </w:r>
          </w:p>
          <w:p w14:paraId="26E1AB9B">
            <w:pPr>
              <w:spacing w:line="240" w:lineRule="auto"/>
              <w:rPr>
                <w:rFonts w:ascii="宋体" w:hAnsi="宋体"/>
                <w:sz w:val="18"/>
                <w:szCs w:val="18"/>
              </w:rPr>
            </w:pPr>
            <w:r>
              <w:rPr>
                <w:rFonts w:hint="eastAsia" w:ascii="宋体" w:hAnsi="宋体" w:cs="宋体"/>
                <w:sz w:val="18"/>
                <w:szCs w:val="18"/>
              </w:rPr>
              <w:t>□弧线</w:t>
            </w:r>
          </w:p>
        </w:tc>
        <w:tc>
          <w:tcPr>
            <w:tcW w:w="892" w:type="dxa"/>
            <w:gridSpan w:val="2"/>
            <w:tcBorders>
              <w:top w:val="single" w:color="auto" w:sz="4" w:space="0"/>
              <w:left w:val="single" w:color="auto" w:sz="4" w:space="0"/>
              <w:right w:val="single" w:color="auto" w:sz="4" w:space="0"/>
            </w:tcBorders>
            <w:vAlign w:val="center"/>
          </w:tcPr>
          <w:p w14:paraId="3A81206B">
            <w:pPr>
              <w:spacing w:line="240" w:lineRule="auto"/>
              <w:rPr>
                <w:rFonts w:ascii="宋体" w:hAnsi="宋体"/>
                <w:sz w:val="18"/>
                <w:szCs w:val="18"/>
              </w:rPr>
            </w:pPr>
          </w:p>
        </w:tc>
        <w:tc>
          <w:tcPr>
            <w:tcW w:w="658" w:type="dxa"/>
            <w:tcBorders>
              <w:top w:val="single" w:color="auto" w:sz="4" w:space="0"/>
              <w:left w:val="single" w:color="auto" w:sz="4" w:space="0"/>
              <w:right w:val="single" w:color="auto" w:sz="4" w:space="0"/>
            </w:tcBorders>
            <w:vAlign w:val="center"/>
          </w:tcPr>
          <w:p w14:paraId="06C56AD0">
            <w:pPr>
              <w:spacing w:line="240" w:lineRule="auto"/>
              <w:rPr>
                <w:rFonts w:ascii="宋体" w:hAnsi="宋体"/>
                <w:sz w:val="18"/>
                <w:szCs w:val="18"/>
              </w:rPr>
            </w:pPr>
          </w:p>
        </w:tc>
        <w:tc>
          <w:tcPr>
            <w:tcW w:w="821" w:type="dxa"/>
            <w:tcBorders>
              <w:top w:val="single" w:color="auto" w:sz="4" w:space="0"/>
              <w:left w:val="single" w:color="auto" w:sz="4" w:space="0"/>
              <w:right w:val="single" w:color="auto" w:sz="4" w:space="0"/>
            </w:tcBorders>
            <w:vAlign w:val="center"/>
          </w:tcPr>
          <w:p w14:paraId="5E9F5B0B">
            <w:pPr>
              <w:spacing w:line="240" w:lineRule="auto"/>
              <w:jc w:val="right"/>
              <w:rPr>
                <w:rFonts w:ascii="宋体" w:hAnsi="宋体"/>
                <w:sz w:val="18"/>
                <w:szCs w:val="18"/>
              </w:rPr>
            </w:pPr>
            <w:r>
              <w:rPr>
                <w:rFonts w:hint="eastAsia" w:ascii="宋体" w:hAnsi="宋体" w:cs="宋体"/>
                <w:sz w:val="18"/>
                <w:szCs w:val="18"/>
              </w:rPr>
              <w:t>°</w:t>
            </w:r>
          </w:p>
        </w:tc>
        <w:tc>
          <w:tcPr>
            <w:tcW w:w="690" w:type="dxa"/>
            <w:tcBorders>
              <w:top w:val="single" w:color="auto" w:sz="4" w:space="0"/>
              <w:left w:val="single" w:color="auto" w:sz="4" w:space="0"/>
              <w:right w:val="single" w:color="auto" w:sz="4" w:space="0"/>
            </w:tcBorders>
            <w:vAlign w:val="center"/>
          </w:tcPr>
          <w:p w14:paraId="227498A7">
            <w:pPr>
              <w:spacing w:line="240" w:lineRule="auto"/>
              <w:jc w:val="right"/>
              <w:rPr>
                <w:rFonts w:ascii="宋体" w:hAnsi="宋体"/>
                <w:sz w:val="18"/>
                <w:szCs w:val="18"/>
              </w:rPr>
            </w:pPr>
            <w:r>
              <w:rPr>
                <w:rFonts w:ascii="宋体" w:hAnsi="宋体"/>
                <w:sz w:val="18"/>
                <w:szCs w:val="18"/>
              </w:rPr>
              <w:t>m</w:t>
            </w:r>
          </w:p>
        </w:tc>
        <w:tc>
          <w:tcPr>
            <w:tcW w:w="693" w:type="dxa"/>
            <w:gridSpan w:val="2"/>
            <w:tcBorders>
              <w:top w:val="single" w:color="auto" w:sz="4" w:space="0"/>
              <w:left w:val="single" w:color="auto" w:sz="4" w:space="0"/>
              <w:right w:val="single" w:color="auto" w:sz="4" w:space="0"/>
            </w:tcBorders>
            <w:vAlign w:val="center"/>
          </w:tcPr>
          <w:p w14:paraId="6E110878">
            <w:pPr>
              <w:spacing w:line="240" w:lineRule="auto"/>
              <w:jc w:val="right"/>
              <w:rPr>
                <w:rFonts w:ascii="宋体" w:hAnsi="宋体"/>
                <w:sz w:val="18"/>
                <w:szCs w:val="18"/>
              </w:rPr>
            </w:pPr>
            <w:r>
              <w:rPr>
                <w:rFonts w:ascii="宋体" w:hAnsi="宋体"/>
                <w:sz w:val="18"/>
                <w:szCs w:val="18"/>
              </w:rPr>
              <w:t>m</w:t>
            </w:r>
          </w:p>
        </w:tc>
        <w:tc>
          <w:tcPr>
            <w:tcW w:w="690" w:type="dxa"/>
            <w:tcBorders>
              <w:top w:val="single" w:color="auto" w:sz="4" w:space="0"/>
              <w:left w:val="single" w:color="auto" w:sz="4" w:space="0"/>
              <w:right w:val="single" w:color="auto" w:sz="4" w:space="0"/>
            </w:tcBorders>
            <w:vAlign w:val="center"/>
          </w:tcPr>
          <w:p w14:paraId="1E7EE094">
            <w:pPr>
              <w:spacing w:line="240" w:lineRule="auto"/>
              <w:jc w:val="right"/>
              <w:rPr>
                <w:rFonts w:ascii="宋体" w:hAnsi="宋体"/>
                <w:sz w:val="18"/>
                <w:szCs w:val="18"/>
              </w:rPr>
            </w:pPr>
            <w:r>
              <w:rPr>
                <w:rFonts w:ascii="宋体" w:hAnsi="宋体"/>
                <w:sz w:val="18"/>
                <w:szCs w:val="18"/>
              </w:rPr>
              <w:t>m</w:t>
            </w:r>
          </w:p>
        </w:tc>
        <w:tc>
          <w:tcPr>
            <w:tcW w:w="1356" w:type="dxa"/>
            <w:gridSpan w:val="2"/>
            <w:tcBorders>
              <w:top w:val="single" w:color="auto" w:sz="4" w:space="0"/>
              <w:left w:val="single" w:color="auto" w:sz="4" w:space="0"/>
              <w:right w:val="single" w:color="auto" w:sz="4" w:space="0"/>
            </w:tcBorders>
            <w:vAlign w:val="center"/>
          </w:tcPr>
          <w:p w14:paraId="047A4059">
            <w:pPr>
              <w:spacing w:line="240" w:lineRule="auto"/>
              <w:rPr>
                <w:rFonts w:ascii="宋体" w:hAnsi="宋体" w:cs="宋体"/>
                <w:sz w:val="18"/>
                <w:szCs w:val="18"/>
              </w:rPr>
            </w:pPr>
            <w:r>
              <w:rPr>
                <w:rFonts w:hint="eastAsia" w:ascii="宋体" w:hAnsi="宋体" w:cs="宋体"/>
                <w:sz w:val="18"/>
                <w:szCs w:val="18"/>
              </w:rPr>
              <w:t>□拉张</w:t>
            </w:r>
          </w:p>
          <w:p w14:paraId="61033ABF">
            <w:pPr>
              <w:spacing w:line="240" w:lineRule="auto"/>
              <w:rPr>
                <w:rFonts w:ascii="宋体" w:hAnsi="宋体" w:cs="宋体"/>
                <w:sz w:val="18"/>
                <w:szCs w:val="18"/>
              </w:rPr>
            </w:pPr>
            <w:r>
              <w:rPr>
                <w:rFonts w:hint="eastAsia" w:ascii="宋体" w:hAnsi="宋体" w:cs="宋体"/>
                <w:sz w:val="18"/>
                <w:szCs w:val="18"/>
              </w:rPr>
              <w:t>□平移</w:t>
            </w:r>
          </w:p>
          <w:p w14:paraId="53F195DD">
            <w:pPr>
              <w:spacing w:line="240" w:lineRule="auto"/>
              <w:rPr>
                <w:rFonts w:ascii="宋体" w:hAnsi="宋体"/>
                <w:sz w:val="18"/>
                <w:szCs w:val="18"/>
              </w:rPr>
            </w:pPr>
            <w:r>
              <w:rPr>
                <w:rFonts w:hint="eastAsia" w:ascii="宋体" w:hAnsi="宋体" w:cs="宋体"/>
                <w:sz w:val="18"/>
                <w:szCs w:val="18"/>
              </w:rPr>
              <w:t>□下错</w:t>
            </w:r>
          </w:p>
        </w:tc>
        <w:tc>
          <w:tcPr>
            <w:tcW w:w="1311" w:type="dxa"/>
            <w:gridSpan w:val="3"/>
            <w:tcBorders>
              <w:top w:val="single" w:color="auto" w:sz="4" w:space="0"/>
              <w:left w:val="single" w:color="auto" w:sz="4" w:space="0"/>
              <w:right w:val="single" w:color="auto" w:sz="4" w:space="0"/>
            </w:tcBorders>
            <w:vAlign w:val="center"/>
          </w:tcPr>
          <w:p w14:paraId="760F2F60">
            <w:pPr>
              <w:spacing w:line="240" w:lineRule="auto"/>
              <w:rPr>
                <w:rFonts w:ascii="宋体" w:hAnsi="宋体"/>
                <w:sz w:val="18"/>
                <w:szCs w:val="18"/>
              </w:rPr>
            </w:pPr>
            <w:r>
              <w:rPr>
                <w:rFonts w:hint="eastAsia" w:ascii="宋体" w:hAnsi="宋体" w:cs="宋体"/>
                <w:sz w:val="18"/>
                <w:szCs w:val="18"/>
              </w:rPr>
              <w:t>拉张量：   m</w:t>
            </w:r>
          </w:p>
          <w:p w14:paraId="3F996BE3">
            <w:pPr>
              <w:spacing w:line="240" w:lineRule="auto"/>
              <w:rPr>
                <w:rFonts w:ascii="宋体" w:hAnsi="宋体" w:cs="宋体"/>
                <w:sz w:val="18"/>
                <w:szCs w:val="18"/>
              </w:rPr>
            </w:pPr>
            <w:r>
              <w:rPr>
                <w:rFonts w:hint="eastAsia" w:ascii="宋体" w:hAnsi="宋体" w:cs="宋体"/>
                <w:sz w:val="18"/>
                <w:szCs w:val="18"/>
              </w:rPr>
              <w:t>扭动量：   m</w:t>
            </w:r>
          </w:p>
          <w:p w14:paraId="7BCCC099">
            <w:pPr>
              <w:spacing w:line="240" w:lineRule="auto"/>
              <w:rPr>
                <w:rFonts w:ascii="宋体" w:hAnsi="宋体" w:cs="宋体"/>
                <w:sz w:val="18"/>
                <w:szCs w:val="18"/>
              </w:rPr>
            </w:pPr>
            <w:r>
              <w:rPr>
                <w:rFonts w:hint="eastAsia" w:ascii="宋体" w:hAnsi="宋体" w:cs="宋体"/>
                <w:sz w:val="18"/>
                <w:szCs w:val="18"/>
              </w:rPr>
              <w:t>位错量：   m</w:t>
            </w:r>
          </w:p>
        </w:tc>
        <w:tc>
          <w:tcPr>
            <w:tcW w:w="795" w:type="dxa"/>
            <w:gridSpan w:val="2"/>
            <w:tcBorders>
              <w:top w:val="single" w:color="auto" w:sz="4" w:space="0"/>
              <w:left w:val="single" w:color="auto" w:sz="4" w:space="0"/>
              <w:right w:val="single" w:color="auto" w:sz="4" w:space="0"/>
            </w:tcBorders>
            <w:vAlign w:val="center"/>
          </w:tcPr>
          <w:p w14:paraId="7905A550">
            <w:pPr>
              <w:spacing w:line="240" w:lineRule="auto"/>
              <w:rPr>
                <w:rFonts w:ascii="宋体" w:hAnsi="宋体"/>
                <w:sz w:val="18"/>
                <w:szCs w:val="18"/>
              </w:rPr>
            </w:pPr>
          </w:p>
        </w:tc>
        <w:tc>
          <w:tcPr>
            <w:tcW w:w="2328" w:type="dxa"/>
            <w:gridSpan w:val="2"/>
            <w:tcBorders>
              <w:top w:val="single" w:color="auto" w:sz="4" w:space="0"/>
              <w:left w:val="single" w:color="auto" w:sz="4" w:space="0"/>
              <w:bottom w:val="single" w:color="auto" w:sz="4" w:space="0"/>
              <w:right w:val="single" w:color="auto" w:sz="4" w:space="0"/>
            </w:tcBorders>
            <w:vAlign w:val="center"/>
          </w:tcPr>
          <w:p w14:paraId="68A3F874">
            <w:pPr>
              <w:spacing w:line="240" w:lineRule="auto"/>
              <w:rPr>
                <w:rFonts w:ascii="宋体" w:hAnsi="宋体"/>
                <w:sz w:val="18"/>
                <w:szCs w:val="18"/>
              </w:rPr>
            </w:pPr>
            <w:r>
              <w:rPr>
                <w:rFonts w:hint="eastAsia" w:ascii="宋体" w:hAnsi="宋体" w:cs="宋体"/>
                <w:sz w:val="18"/>
                <w:szCs w:val="18"/>
              </w:rPr>
              <w:t>出现时间：   年   月   日</w:t>
            </w:r>
          </w:p>
          <w:p w14:paraId="757F66DC">
            <w:pPr>
              <w:spacing w:line="240" w:lineRule="auto"/>
              <w:rPr>
                <w:rFonts w:ascii="宋体" w:hAnsi="宋体"/>
                <w:sz w:val="18"/>
                <w:szCs w:val="18"/>
              </w:rPr>
            </w:pPr>
            <w:r>
              <w:rPr>
                <w:rFonts w:hint="eastAsia" w:ascii="宋体" w:hAnsi="宋体" w:cs="宋体"/>
                <w:sz w:val="18"/>
                <w:szCs w:val="18"/>
              </w:rPr>
              <w:t>活动性：□停止 □仍有活动</w:t>
            </w:r>
          </w:p>
        </w:tc>
      </w:tr>
      <w:tr w14:paraId="4AD91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68"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3463088C">
            <w:pPr>
              <w:spacing w:line="240" w:lineRule="auto"/>
              <w:rPr>
                <w:rFonts w:ascii="宋体" w:hAnsi="宋体"/>
                <w:sz w:val="18"/>
                <w:szCs w:val="18"/>
              </w:rPr>
            </w:pPr>
          </w:p>
        </w:tc>
        <w:tc>
          <w:tcPr>
            <w:tcW w:w="617" w:type="dxa"/>
            <w:vMerge w:val="restart"/>
            <w:tcBorders>
              <w:top w:val="single" w:color="auto" w:sz="4" w:space="0"/>
              <w:left w:val="single" w:color="auto" w:sz="4" w:space="0"/>
              <w:bottom w:val="single" w:color="auto" w:sz="4" w:space="0"/>
              <w:right w:val="single" w:color="auto" w:sz="4" w:space="0"/>
            </w:tcBorders>
            <w:vAlign w:val="center"/>
          </w:tcPr>
          <w:p w14:paraId="564BAA57">
            <w:pPr>
              <w:spacing w:line="240" w:lineRule="auto"/>
              <w:jc w:val="center"/>
              <w:rPr>
                <w:rFonts w:ascii="宋体" w:hAnsi="宋体"/>
                <w:sz w:val="18"/>
                <w:szCs w:val="18"/>
              </w:rPr>
            </w:pPr>
            <w:r>
              <w:rPr>
                <w:rFonts w:hint="eastAsia" w:ascii="宋体" w:hAnsi="宋体" w:cs="宋体"/>
                <w:sz w:val="18"/>
                <w:szCs w:val="18"/>
              </w:rPr>
              <w:t>群缝</w:t>
            </w:r>
          </w:p>
          <w:p w14:paraId="2FD2B063">
            <w:pPr>
              <w:spacing w:line="240" w:lineRule="auto"/>
              <w:jc w:val="center"/>
              <w:rPr>
                <w:rFonts w:ascii="宋体" w:hAnsi="宋体"/>
                <w:sz w:val="18"/>
                <w:szCs w:val="18"/>
              </w:rPr>
            </w:pPr>
            <w:r>
              <w:rPr>
                <w:rFonts w:hint="eastAsia" w:ascii="宋体" w:hAnsi="宋体" w:cs="宋体"/>
                <w:sz w:val="18"/>
                <w:szCs w:val="18"/>
              </w:rPr>
              <w:t>特征</w:t>
            </w:r>
          </w:p>
        </w:tc>
        <w:tc>
          <w:tcPr>
            <w:tcW w:w="553" w:type="dxa"/>
            <w:vMerge w:val="restart"/>
            <w:tcBorders>
              <w:top w:val="single" w:color="auto" w:sz="4" w:space="0"/>
              <w:left w:val="single" w:color="auto" w:sz="4" w:space="0"/>
              <w:right w:val="single" w:color="auto" w:sz="4" w:space="0"/>
            </w:tcBorders>
            <w:vAlign w:val="center"/>
          </w:tcPr>
          <w:p w14:paraId="40C58534">
            <w:pPr>
              <w:spacing w:line="240" w:lineRule="auto"/>
              <w:jc w:val="center"/>
              <w:rPr>
                <w:rFonts w:ascii="宋体" w:hAnsi="宋体"/>
                <w:sz w:val="18"/>
                <w:szCs w:val="18"/>
              </w:rPr>
            </w:pPr>
            <w:r>
              <w:rPr>
                <w:rFonts w:hint="eastAsia" w:ascii="宋体" w:hAnsi="宋体" w:cs="宋体"/>
                <w:sz w:val="18"/>
                <w:szCs w:val="18"/>
              </w:rPr>
              <w:t>缝数</w:t>
            </w:r>
          </w:p>
        </w:tc>
        <w:tc>
          <w:tcPr>
            <w:tcW w:w="6731" w:type="dxa"/>
            <w:gridSpan w:val="11"/>
            <w:tcBorders>
              <w:top w:val="single" w:color="auto" w:sz="4" w:space="0"/>
              <w:left w:val="single" w:color="auto" w:sz="4" w:space="0"/>
              <w:bottom w:val="single" w:color="auto" w:sz="4" w:space="0"/>
              <w:right w:val="single" w:color="auto" w:sz="4" w:space="0"/>
            </w:tcBorders>
            <w:vAlign w:val="center"/>
          </w:tcPr>
          <w:p w14:paraId="7494016A">
            <w:pPr>
              <w:spacing w:line="240" w:lineRule="auto"/>
              <w:jc w:val="center"/>
              <w:rPr>
                <w:rFonts w:ascii="宋体" w:hAnsi="宋体"/>
                <w:sz w:val="18"/>
                <w:szCs w:val="18"/>
              </w:rPr>
            </w:pPr>
            <w:r>
              <w:rPr>
                <w:rFonts w:hint="eastAsia" w:ascii="宋体" w:hAnsi="宋体" w:cs="宋体"/>
                <w:sz w:val="18"/>
                <w:szCs w:val="18"/>
              </w:rPr>
              <w:t>分布、发育情况</w:t>
            </w:r>
          </w:p>
        </w:tc>
        <w:tc>
          <w:tcPr>
            <w:tcW w:w="5494" w:type="dxa"/>
            <w:gridSpan w:val="8"/>
            <w:tcBorders>
              <w:top w:val="single" w:color="auto" w:sz="4" w:space="0"/>
              <w:left w:val="single" w:color="auto" w:sz="4" w:space="0"/>
              <w:bottom w:val="single" w:color="auto" w:sz="4" w:space="0"/>
              <w:right w:val="single" w:color="auto" w:sz="4" w:space="0"/>
            </w:tcBorders>
            <w:vAlign w:val="center"/>
          </w:tcPr>
          <w:p w14:paraId="6D07446E">
            <w:pPr>
              <w:spacing w:line="240" w:lineRule="auto"/>
              <w:jc w:val="center"/>
              <w:rPr>
                <w:rFonts w:ascii="宋体" w:hAnsi="宋体" w:cs="宋体"/>
                <w:sz w:val="18"/>
                <w:szCs w:val="18"/>
              </w:rPr>
            </w:pPr>
            <w:r>
              <w:rPr>
                <w:rFonts w:hint="eastAsia" w:ascii="宋体" w:hAnsi="宋体" w:cs="宋体"/>
                <w:sz w:val="18"/>
                <w:szCs w:val="18"/>
              </w:rPr>
              <w:t>发生发展情况</w:t>
            </w:r>
          </w:p>
        </w:tc>
      </w:tr>
      <w:tr w14:paraId="78913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26"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04B2BFB4">
            <w:pPr>
              <w:spacing w:line="240" w:lineRule="auto"/>
              <w:rPr>
                <w:rFonts w:ascii="宋体" w:hAnsi="宋体"/>
                <w:sz w:val="18"/>
                <w:szCs w:val="18"/>
              </w:rPr>
            </w:pPr>
          </w:p>
        </w:tc>
        <w:tc>
          <w:tcPr>
            <w:tcW w:w="617" w:type="dxa"/>
            <w:vMerge w:val="continue"/>
            <w:tcBorders>
              <w:top w:val="single" w:color="auto" w:sz="4" w:space="0"/>
              <w:left w:val="single" w:color="auto" w:sz="4" w:space="0"/>
              <w:bottom w:val="single" w:color="auto" w:sz="4" w:space="0"/>
              <w:right w:val="single" w:color="auto" w:sz="4" w:space="0"/>
            </w:tcBorders>
            <w:vAlign w:val="center"/>
          </w:tcPr>
          <w:p w14:paraId="58711A94">
            <w:pPr>
              <w:spacing w:line="240" w:lineRule="auto"/>
              <w:rPr>
                <w:rFonts w:ascii="宋体" w:hAnsi="宋体"/>
                <w:sz w:val="18"/>
                <w:szCs w:val="18"/>
              </w:rPr>
            </w:pPr>
          </w:p>
        </w:tc>
        <w:tc>
          <w:tcPr>
            <w:tcW w:w="553" w:type="dxa"/>
            <w:vMerge w:val="continue"/>
            <w:tcBorders>
              <w:left w:val="single" w:color="auto" w:sz="4" w:space="0"/>
              <w:bottom w:val="single" w:color="auto" w:sz="4" w:space="0"/>
              <w:right w:val="single" w:color="auto" w:sz="4" w:space="0"/>
            </w:tcBorders>
            <w:vAlign w:val="center"/>
          </w:tcPr>
          <w:p w14:paraId="061596D5">
            <w:pPr>
              <w:spacing w:line="240" w:lineRule="auto"/>
              <w:jc w:val="center"/>
              <w:rPr>
                <w:rFonts w:ascii="宋体" w:hAnsi="宋体"/>
                <w:sz w:val="18"/>
                <w:szCs w:val="18"/>
              </w:rPr>
            </w:pPr>
          </w:p>
        </w:tc>
        <w:tc>
          <w:tcPr>
            <w:tcW w:w="791" w:type="dxa"/>
            <w:tcBorders>
              <w:top w:val="single" w:color="auto" w:sz="4" w:space="0"/>
              <w:left w:val="single" w:color="auto" w:sz="4" w:space="0"/>
              <w:bottom w:val="single" w:color="auto" w:sz="4" w:space="0"/>
              <w:right w:val="single" w:color="auto" w:sz="4" w:space="0"/>
            </w:tcBorders>
            <w:vAlign w:val="center"/>
          </w:tcPr>
          <w:p w14:paraId="05480E8C">
            <w:pPr>
              <w:spacing w:line="240" w:lineRule="auto"/>
              <w:rPr>
                <w:rFonts w:ascii="宋体" w:hAnsi="宋体"/>
                <w:sz w:val="18"/>
                <w:szCs w:val="18"/>
              </w:rPr>
            </w:pPr>
            <w:r>
              <w:rPr>
                <w:rFonts w:ascii="宋体" w:hAnsi="宋体"/>
                <w:sz w:val="18"/>
                <w:szCs w:val="18"/>
              </w:rPr>
              <w:t xml:space="preserve">  </w:t>
            </w:r>
            <w:r>
              <w:rPr>
                <w:rFonts w:hint="eastAsia" w:ascii="宋体" w:hAnsi="宋体"/>
                <w:sz w:val="18"/>
                <w:szCs w:val="18"/>
              </w:rPr>
              <w:t>分布</w:t>
            </w:r>
            <w:r>
              <w:rPr>
                <w:rFonts w:ascii="宋体" w:hAnsi="宋体"/>
                <w:sz w:val="18"/>
                <w:szCs w:val="18"/>
              </w:rPr>
              <w:t xml:space="preserve">             </w:t>
            </w:r>
          </w:p>
        </w:tc>
        <w:tc>
          <w:tcPr>
            <w:tcW w:w="1487" w:type="dxa"/>
            <w:gridSpan w:val="2"/>
            <w:tcBorders>
              <w:top w:val="single" w:color="auto" w:sz="4" w:space="0"/>
              <w:left w:val="single" w:color="auto" w:sz="4" w:space="0"/>
              <w:bottom w:val="single" w:color="auto" w:sz="4" w:space="0"/>
              <w:right w:val="single" w:color="auto" w:sz="4" w:space="0"/>
            </w:tcBorders>
            <w:vAlign w:val="center"/>
          </w:tcPr>
          <w:p w14:paraId="3862C7EF">
            <w:pPr>
              <w:spacing w:line="240" w:lineRule="auto"/>
              <w:jc w:val="center"/>
              <w:rPr>
                <w:rFonts w:ascii="宋体" w:hAnsi="宋体"/>
                <w:sz w:val="18"/>
                <w:szCs w:val="18"/>
              </w:rPr>
            </w:pPr>
            <w:r>
              <w:rPr>
                <w:rFonts w:hint="eastAsia" w:ascii="宋体" w:hAnsi="宋体" w:cs="宋体"/>
                <w:sz w:val="18"/>
                <w:szCs w:val="18"/>
              </w:rPr>
              <w:t>规模</w:t>
            </w:r>
          </w:p>
        </w:tc>
        <w:tc>
          <w:tcPr>
            <w:tcW w:w="3041" w:type="dxa"/>
            <w:gridSpan w:val="5"/>
            <w:tcBorders>
              <w:top w:val="single" w:color="auto" w:sz="4" w:space="0"/>
              <w:left w:val="single" w:color="auto" w:sz="4" w:space="0"/>
              <w:bottom w:val="single" w:color="auto" w:sz="4" w:space="0"/>
              <w:right w:val="single" w:color="auto" w:sz="4" w:space="0"/>
            </w:tcBorders>
            <w:vAlign w:val="center"/>
          </w:tcPr>
          <w:p w14:paraId="409CE2B5">
            <w:pPr>
              <w:spacing w:line="240" w:lineRule="auto"/>
              <w:jc w:val="center"/>
              <w:rPr>
                <w:rFonts w:ascii="宋体" w:hAnsi="宋体"/>
                <w:sz w:val="18"/>
                <w:szCs w:val="18"/>
              </w:rPr>
            </w:pPr>
            <w:r>
              <w:rPr>
                <w:rFonts w:hint="eastAsia" w:ascii="宋体" w:hAnsi="宋体" w:cs="宋体"/>
                <w:sz w:val="18"/>
                <w:szCs w:val="18"/>
              </w:rPr>
              <w:t>排列形式</w:t>
            </w:r>
          </w:p>
        </w:tc>
        <w:tc>
          <w:tcPr>
            <w:tcW w:w="1412" w:type="dxa"/>
            <w:gridSpan w:val="3"/>
            <w:tcBorders>
              <w:top w:val="single" w:color="auto" w:sz="4" w:space="0"/>
              <w:left w:val="single" w:color="auto" w:sz="4" w:space="0"/>
              <w:bottom w:val="single" w:color="auto" w:sz="4" w:space="0"/>
              <w:right w:val="single" w:color="auto" w:sz="4" w:space="0"/>
            </w:tcBorders>
            <w:vAlign w:val="center"/>
          </w:tcPr>
          <w:p w14:paraId="5DB20D26">
            <w:pPr>
              <w:spacing w:line="240" w:lineRule="auto"/>
              <w:jc w:val="center"/>
              <w:rPr>
                <w:rFonts w:ascii="宋体" w:hAnsi="宋体" w:cs="宋体"/>
                <w:sz w:val="18"/>
                <w:szCs w:val="18"/>
              </w:rPr>
            </w:pPr>
            <w:r>
              <w:rPr>
                <w:rFonts w:hint="eastAsia" w:ascii="宋体" w:hAnsi="宋体" w:cs="宋体"/>
                <w:sz w:val="18"/>
                <w:szCs w:val="18"/>
              </w:rPr>
              <w:t>组合关系</w:t>
            </w:r>
          </w:p>
        </w:tc>
        <w:tc>
          <w:tcPr>
            <w:tcW w:w="1437" w:type="dxa"/>
            <w:gridSpan w:val="3"/>
            <w:tcBorders>
              <w:top w:val="single" w:color="auto" w:sz="4" w:space="0"/>
              <w:left w:val="single" w:color="auto" w:sz="4" w:space="0"/>
              <w:bottom w:val="single" w:color="auto" w:sz="4" w:space="0"/>
              <w:right w:val="single" w:color="auto" w:sz="4" w:space="0"/>
            </w:tcBorders>
            <w:vAlign w:val="center"/>
          </w:tcPr>
          <w:p w14:paraId="12AF4B04">
            <w:pPr>
              <w:spacing w:line="240" w:lineRule="auto"/>
              <w:jc w:val="center"/>
              <w:rPr>
                <w:rFonts w:ascii="宋体" w:hAnsi="宋体"/>
                <w:sz w:val="18"/>
                <w:szCs w:val="18"/>
              </w:rPr>
            </w:pPr>
            <w:r>
              <w:rPr>
                <w:rFonts w:hint="eastAsia" w:ascii="宋体" w:hAnsi="宋体" w:cs="宋体"/>
                <w:sz w:val="18"/>
                <w:szCs w:val="18"/>
              </w:rPr>
              <w:t>始发时间</w:t>
            </w:r>
          </w:p>
        </w:tc>
        <w:tc>
          <w:tcPr>
            <w:tcW w:w="1566" w:type="dxa"/>
            <w:gridSpan w:val="2"/>
            <w:tcBorders>
              <w:top w:val="single" w:color="auto" w:sz="4" w:space="0"/>
              <w:left w:val="single" w:color="auto" w:sz="4" w:space="0"/>
              <w:bottom w:val="single" w:color="auto" w:sz="4" w:space="0"/>
              <w:right w:val="single" w:color="auto" w:sz="4" w:space="0"/>
            </w:tcBorders>
            <w:vAlign w:val="center"/>
          </w:tcPr>
          <w:p w14:paraId="69DD949E">
            <w:pPr>
              <w:spacing w:line="240" w:lineRule="auto"/>
              <w:jc w:val="center"/>
              <w:rPr>
                <w:rFonts w:ascii="宋体" w:hAnsi="宋体"/>
                <w:sz w:val="18"/>
                <w:szCs w:val="18"/>
              </w:rPr>
            </w:pPr>
            <w:r>
              <w:rPr>
                <w:rFonts w:hint="eastAsia" w:ascii="宋体" w:hAnsi="宋体" w:cs="宋体"/>
                <w:sz w:val="18"/>
                <w:szCs w:val="18"/>
              </w:rPr>
              <w:t>盛发时间</w:t>
            </w:r>
          </w:p>
        </w:tc>
        <w:tc>
          <w:tcPr>
            <w:tcW w:w="1384" w:type="dxa"/>
            <w:gridSpan w:val="2"/>
            <w:tcBorders>
              <w:top w:val="single" w:color="auto" w:sz="4" w:space="0"/>
              <w:left w:val="single" w:color="auto" w:sz="4" w:space="0"/>
              <w:bottom w:val="single" w:color="auto" w:sz="4" w:space="0"/>
              <w:right w:val="single" w:color="auto" w:sz="4" w:space="0"/>
            </w:tcBorders>
            <w:vAlign w:val="center"/>
          </w:tcPr>
          <w:p w14:paraId="749B6C21">
            <w:pPr>
              <w:spacing w:line="240" w:lineRule="auto"/>
              <w:jc w:val="center"/>
              <w:rPr>
                <w:rFonts w:ascii="宋体" w:hAnsi="宋体"/>
                <w:sz w:val="18"/>
                <w:szCs w:val="18"/>
              </w:rPr>
            </w:pPr>
            <w:r>
              <w:rPr>
                <w:rFonts w:hint="eastAsia" w:ascii="宋体" w:hAnsi="宋体" w:cs="宋体"/>
                <w:sz w:val="18"/>
                <w:szCs w:val="18"/>
              </w:rPr>
              <w:t>停止时间</w:t>
            </w:r>
          </w:p>
        </w:tc>
        <w:tc>
          <w:tcPr>
            <w:tcW w:w="1107" w:type="dxa"/>
            <w:tcBorders>
              <w:top w:val="single" w:color="auto" w:sz="4" w:space="0"/>
              <w:left w:val="single" w:color="auto" w:sz="4" w:space="0"/>
              <w:bottom w:val="single" w:color="auto" w:sz="4" w:space="0"/>
              <w:right w:val="single" w:color="auto" w:sz="4" w:space="0"/>
            </w:tcBorders>
            <w:vAlign w:val="center"/>
          </w:tcPr>
          <w:p w14:paraId="09901C10">
            <w:pPr>
              <w:spacing w:line="240" w:lineRule="auto"/>
              <w:jc w:val="center"/>
              <w:rPr>
                <w:rFonts w:ascii="宋体" w:hAnsi="宋体"/>
                <w:sz w:val="18"/>
                <w:szCs w:val="18"/>
              </w:rPr>
            </w:pPr>
            <w:r>
              <w:rPr>
                <w:rFonts w:hint="eastAsia" w:ascii="宋体" w:hAnsi="宋体" w:cs="宋体"/>
                <w:sz w:val="18"/>
                <w:szCs w:val="18"/>
              </w:rPr>
              <w:t>尚在发展</w:t>
            </w:r>
          </w:p>
        </w:tc>
      </w:tr>
      <w:tr w14:paraId="083C3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71"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7724C4AC">
            <w:pPr>
              <w:spacing w:line="240" w:lineRule="auto"/>
              <w:rPr>
                <w:rFonts w:ascii="宋体" w:hAnsi="宋体"/>
                <w:sz w:val="18"/>
                <w:szCs w:val="18"/>
              </w:rPr>
            </w:pPr>
          </w:p>
        </w:tc>
        <w:tc>
          <w:tcPr>
            <w:tcW w:w="617" w:type="dxa"/>
            <w:vMerge w:val="continue"/>
            <w:tcBorders>
              <w:top w:val="single" w:color="auto" w:sz="4" w:space="0"/>
              <w:left w:val="single" w:color="auto" w:sz="4" w:space="0"/>
              <w:bottom w:val="single" w:color="auto" w:sz="4" w:space="0"/>
              <w:right w:val="single" w:color="auto" w:sz="4" w:space="0"/>
            </w:tcBorders>
            <w:vAlign w:val="center"/>
          </w:tcPr>
          <w:p w14:paraId="589A0361">
            <w:pPr>
              <w:spacing w:line="240" w:lineRule="auto"/>
              <w:rPr>
                <w:rFonts w:ascii="宋体" w:hAnsi="宋体"/>
                <w:sz w:val="18"/>
                <w:szCs w:val="18"/>
              </w:rPr>
            </w:pPr>
          </w:p>
        </w:tc>
        <w:tc>
          <w:tcPr>
            <w:tcW w:w="553" w:type="dxa"/>
            <w:vMerge w:val="restart"/>
            <w:tcBorders>
              <w:top w:val="single" w:color="auto" w:sz="4" w:space="0"/>
              <w:left w:val="single" w:color="auto" w:sz="4" w:space="0"/>
              <w:right w:val="single" w:color="auto" w:sz="4" w:space="0"/>
            </w:tcBorders>
            <w:vAlign w:val="center"/>
          </w:tcPr>
          <w:p w14:paraId="278074AF">
            <w:pPr>
              <w:spacing w:line="240" w:lineRule="auto"/>
              <w:rPr>
                <w:rFonts w:ascii="宋体" w:hAnsi="宋体"/>
                <w:sz w:val="18"/>
                <w:szCs w:val="18"/>
              </w:rPr>
            </w:pPr>
          </w:p>
        </w:tc>
        <w:tc>
          <w:tcPr>
            <w:tcW w:w="791" w:type="dxa"/>
            <w:vMerge w:val="restart"/>
            <w:tcBorders>
              <w:top w:val="single" w:color="auto" w:sz="4" w:space="0"/>
              <w:left w:val="single" w:color="auto" w:sz="4" w:space="0"/>
              <w:right w:val="single" w:color="auto" w:sz="4" w:space="0"/>
            </w:tcBorders>
            <w:vAlign w:val="center"/>
          </w:tcPr>
          <w:p w14:paraId="06092C41">
            <w:pPr>
              <w:spacing w:line="240" w:lineRule="auto"/>
              <w:rPr>
                <w:rFonts w:ascii="宋体" w:hAnsi="宋体" w:cs="宋体"/>
                <w:sz w:val="18"/>
                <w:szCs w:val="18"/>
              </w:rPr>
            </w:pPr>
            <w:r>
              <w:rPr>
                <w:rFonts w:hint="eastAsia" w:ascii="宋体" w:hAnsi="宋体" w:cs="宋体"/>
                <w:sz w:val="18"/>
                <w:szCs w:val="18"/>
              </w:rPr>
              <w:t>面积：</w:t>
            </w:r>
          </w:p>
          <w:p w14:paraId="28F36273">
            <w:pPr>
              <w:spacing w:line="240" w:lineRule="auto"/>
              <w:rPr>
                <w:rFonts w:ascii="宋体" w:hAnsi="宋体" w:cs="宋体"/>
                <w:sz w:val="18"/>
                <w:szCs w:val="18"/>
              </w:rPr>
            </w:pPr>
            <w:r>
              <w:rPr>
                <w:rFonts w:ascii="宋体" w:hAnsi="宋体"/>
                <w:sz w:val="18"/>
                <w:szCs w:val="18"/>
              </w:rPr>
              <w:t xml:space="preserve">    km</w:t>
            </w:r>
            <w:r>
              <w:rPr>
                <w:rFonts w:hint="eastAsia" w:ascii="宋体" w:hAnsi="宋体" w:cs="宋体"/>
                <w:sz w:val="18"/>
                <w:szCs w:val="18"/>
              </w:rPr>
              <w:t>²</w:t>
            </w:r>
          </w:p>
          <w:p w14:paraId="1C14AF65">
            <w:pPr>
              <w:spacing w:line="240" w:lineRule="auto"/>
              <w:rPr>
                <w:rFonts w:ascii="宋体" w:hAnsi="宋体" w:cs="宋体"/>
                <w:sz w:val="18"/>
                <w:szCs w:val="18"/>
              </w:rPr>
            </w:pPr>
            <w:r>
              <w:rPr>
                <w:rFonts w:hint="eastAsia" w:ascii="宋体" w:hAnsi="宋体" w:cs="宋体"/>
                <w:sz w:val="18"/>
                <w:szCs w:val="18"/>
              </w:rPr>
              <w:t>间距：</w:t>
            </w:r>
          </w:p>
          <w:p w14:paraId="60997275">
            <w:pPr>
              <w:spacing w:line="240" w:lineRule="auto"/>
              <w:rPr>
                <w:rFonts w:ascii="宋体" w:hAnsi="宋体"/>
                <w:sz w:val="18"/>
                <w:szCs w:val="18"/>
              </w:rPr>
            </w:pPr>
            <w:r>
              <w:rPr>
                <w:rFonts w:ascii="宋体" w:hAnsi="宋体"/>
                <w:sz w:val="18"/>
                <w:szCs w:val="18"/>
              </w:rPr>
              <w:t xml:space="preserve">   </w:t>
            </w:r>
            <w:r>
              <w:rPr>
                <w:rFonts w:hint="eastAsia" w:ascii="宋体" w:hAnsi="宋体"/>
                <w:sz w:val="18"/>
                <w:szCs w:val="18"/>
              </w:rPr>
              <w:t xml:space="preserve"> </w:t>
            </w:r>
            <w:r>
              <w:rPr>
                <w:rFonts w:ascii="宋体" w:hAnsi="宋体"/>
                <w:sz w:val="18"/>
                <w:szCs w:val="18"/>
              </w:rPr>
              <w:t xml:space="preserve"> m </w:t>
            </w:r>
          </w:p>
        </w:tc>
        <w:tc>
          <w:tcPr>
            <w:tcW w:w="1487" w:type="dxa"/>
            <w:gridSpan w:val="2"/>
            <w:vMerge w:val="restart"/>
            <w:tcBorders>
              <w:top w:val="single" w:color="auto" w:sz="4" w:space="0"/>
              <w:left w:val="single" w:color="auto" w:sz="4" w:space="0"/>
              <w:right w:val="single" w:color="auto" w:sz="4" w:space="0"/>
            </w:tcBorders>
            <w:vAlign w:val="center"/>
          </w:tcPr>
          <w:p w14:paraId="79C8D841">
            <w:pPr>
              <w:spacing w:line="240" w:lineRule="auto"/>
              <w:rPr>
                <w:rFonts w:ascii="宋体" w:hAnsi="宋体" w:cs="宋体"/>
                <w:sz w:val="18"/>
                <w:szCs w:val="18"/>
              </w:rPr>
            </w:pPr>
            <w:r>
              <w:rPr>
                <w:rFonts w:hint="eastAsia" w:ascii="宋体" w:hAnsi="宋体" w:cs="宋体"/>
                <w:sz w:val="18"/>
                <w:szCs w:val="18"/>
              </w:rPr>
              <w:t xml:space="preserve">长    </w:t>
            </w:r>
            <w:r>
              <w:rPr>
                <w:rFonts w:ascii="宋体" w:hAnsi="宋体"/>
                <w:sz w:val="18"/>
                <w:szCs w:val="18"/>
              </w:rPr>
              <w:t>m</w:t>
            </w:r>
            <w:r>
              <w:rPr>
                <w:rFonts w:hint="eastAsia" w:ascii="宋体" w:hAnsi="宋体" w:cs="宋体"/>
                <w:sz w:val="18"/>
                <w:szCs w:val="18"/>
              </w:rPr>
              <w:t>至</w:t>
            </w:r>
            <w:r>
              <w:rPr>
                <w:rFonts w:ascii="宋体" w:hAnsi="宋体"/>
                <w:sz w:val="18"/>
                <w:szCs w:val="18"/>
              </w:rPr>
              <w:t xml:space="preserve"> </w:t>
            </w:r>
            <w:r>
              <w:rPr>
                <w:rFonts w:hint="eastAsia" w:ascii="宋体" w:hAnsi="宋体"/>
                <w:sz w:val="18"/>
                <w:szCs w:val="18"/>
              </w:rPr>
              <w:t xml:space="preserve"> </w:t>
            </w:r>
            <w:r>
              <w:rPr>
                <w:rFonts w:ascii="宋体" w:hAnsi="宋体"/>
                <w:sz w:val="18"/>
                <w:szCs w:val="18"/>
              </w:rPr>
              <w:t xml:space="preserve"> m</w:t>
            </w:r>
          </w:p>
          <w:p w14:paraId="291D2914">
            <w:pPr>
              <w:spacing w:line="240" w:lineRule="auto"/>
              <w:rPr>
                <w:rFonts w:ascii="宋体" w:hAnsi="宋体"/>
                <w:sz w:val="18"/>
                <w:szCs w:val="18"/>
              </w:rPr>
            </w:pPr>
            <w:r>
              <w:rPr>
                <w:rFonts w:hint="eastAsia" w:ascii="宋体" w:hAnsi="宋体" w:cs="宋体"/>
                <w:sz w:val="18"/>
                <w:szCs w:val="18"/>
              </w:rPr>
              <w:t>宽</w:t>
            </w:r>
            <w:r>
              <w:rPr>
                <w:rFonts w:ascii="宋体" w:hAnsi="宋体" w:cs="宋体"/>
                <w:sz w:val="18"/>
                <w:szCs w:val="18"/>
              </w:rPr>
              <w:t xml:space="preserve">   </w:t>
            </w:r>
            <w:r>
              <w:rPr>
                <w:rFonts w:ascii="宋体" w:hAnsi="宋体"/>
                <w:sz w:val="18"/>
                <w:szCs w:val="18"/>
              </w:rPr>
              <w:t>m</w:t>
            </w:r>
            <w:r>
              <w:rPr>
                <w:rFonts w:hint="eastAsia" w:ascii="宋体" w:hAnsi="宋体" w:cs="宋体"/>
                <w:sz w:val="18"/>
                <w:szCs w:val="18"/>
              </w:rPr>
              <w:t>至</w:t>
            </w:r>
            <w:r>
              <w:rPr>
                <w:rFonts w:ascii="宋体" w:hAnsi="宋体"/>
                <w:sz w:val="18"/>
                <w:szCs w:val="18"/>
              </w:rPr>
              <w:t xml:space="preserve">  m</w:t>
            </w:r>
          </w:p>
          <w:p w14:paraId="5EBDBAA8">
            <w:pPr>
              <w:spacing w:line="240" w:lineRule="auto"/>
              <w:rPr>
                <w:rFonts w:ascii="宋体" w:hAnsi="宋体"/>
                <w:sz w:val="18"/>
                <w:szCs w:val="18"/>
              </w:rPr>
            </w:pPr>
            <w:r>
              <w:rPr>
                <w:rFonts w:hint="eastAsia" w:ascii="宋体" w:hAnsi="宋体" w:cs="宋体"/>
                <w:sz w:val="18"/>
                <w:szCs w:val="18"/>
              </w:rPr>
              <w:t xml:space="preserve">深   </w:t>
            </w:r>
            <w:r>
              <w:rPr>
                <w:rFonts w:ascii="宋体" w:hAnsi="宋体"/>
                <w:sz w:val="18"/>
                <w:szCs w:val="18"/>
              </w:rPr>
              <w:t>m</w:t>
            </w:r>
            <w:r>
              <w:rPr>
                <w:rFonts w:hint="eastAsia" w:ascii="宋体" w:hAnsi="宋体" w:cs="宋体"/>
                <w:sz w:val="18"/>
                <w:szCs w:val="18"/>
              </w:rPr>
              <w:t>至</w:t>
            </w:r>
            <w:r>
              <w:rPr>
                <w:rFonts w:ascii="宋体" w:hAnsi="宋体"/>
                <w:sz w:val="18"/>
                <w:szCs w:val="18"/>
              </w:rPr>
              <w:t xml:space="preserve"> </w:t>
            </w:r>
            <w:r>
              <w:rPr>
                <w:rFonts w:hint="eastAsia" w:ascii="宋体" w:hAnsi="宋体"/>
                <w:sz w:val="18"/>
                <w:szCs w:val="18"/>
              </w:rPr>
              <w:t xml:space="preserve"> </w:t>
            </w:r>
            <w:r>
              <w:rPr>
                <w:rFonts w:ascii="宋体" w:hAnsi="宋体"/>
                <w:sz w:val="18"/>
                <w:szCs w:val="18"/>
              </w:rPr>
              <w:t xml:space="preserve"> m</w:t>
            </w:r>
          </w:p>
        </w:tc>
        <w:tc>
          <w:tcPr>
            <w:tcW w:w="3041" w:type="dxa"/>
            <w:gridSpan w:val="5"/>
            <w:vMerge w:val="restart"/>
            <w:tcBorders>
              <w:top w:val="single" w:color="auto" w:sz="4" w:space="0"/>
              <w:left w:val="single" w:color="auto" w:sz="4" w:space="0"/>
              <w:right w:val="single" w:color="auto" w:sz="4" w:space="0"/>
            </w:tcBorders>
            <w:vAlign w:val="center"/>
          </w:tcPr>
          <w:p w14:paraId="2FAEA96E">
            <w:pPr>
              <w:spacing w:line="240" w:lineRule="auto"/>
              <w:rPr>
                <w:rFonts w:ascii="宋体" w:hAnsi="宋体" w:cs="宋体"/>
                <w:sz w:val="18"/>
                <w:szCs w:val="18"/>
              </w:rPr>
            </w:pPr>
            <w:r>
              <w:rPr>
                <w:rFonts w:hint="eastAsia" w:ascii="宋体" w:hAnsi="宋体" w:cs="宋体"/>
                <w:sz w:val="18"/>
                <w:szCs w:val="18"/>
              </w:rPr>
              <w:t>□平行，产状：   ，阶步指向：</w:t>
            </w:r>
          </w:p>
          <w:p w14:paraId="5AA6B81A">
            <w:pPr>
              <w:spacing w:line="240" w:lineRule="auto"/>
              <w:rPr>
                <w:rFonts w:ascii="宋体" w:hAnsi="宋体"/>
                <w:sz w:val="18"/>
                <w:szCs w:val="18"/>
              </w:rPr>
            </w:pPr>
            <w:r>
              <w:rPr>
                <w:rFonts w:hint="eastAsia" w:ascii="宋体" w:hAnsi="宋体" w:cs="宋体"/>
                <w:sz w:val="18"/>
                <w:szCs w:val="18"/>
              </w:rPr>
              <w:t>□斜列，产状：   ，阶步指向：</w:t>
            </w:r>
          </w:p>
          <w:p w14:paraId="48F1A0CD">
            <w:pPr>
              <w:spacing w:line="240" w:lineRule="auto"/>
              <w:rPr>
                <w:rFonts w:ascii="宋体" w:hAnsi="宋体"/>
                <w:sz w:val="18"/>
                <w:szCs w:val="18"/>
              </w:rPr>
            </w:pPr>
            <w:r>
              <w:rPr>
                <w:rFonts w:hint="eastAsia" w:ascii="宋体" w:hAnsi="宋体" w:cs="宋体"/>
                <w:sz w:val="18"/>
                <w:szCs w:val="18"/>
              </w:rPr>
              <w:t>□环围，圆心位置：</w:t>
            </w:r>
          </w:p>
          <w:p w14:paraId="78B2ACC4">
            <w:pPr>
              <w:spacing w:line="240" w:lineRule="auto"/>
              <w:rPr>
                <w:rFonts w:ascii="宋体" w:hAnsi="宋体"/>
                <w:sz w:val="18"/>
                <w:szCs w:val="18"/>
              </w:rPr>
            </w:pPr>
            <w:r>
              <w:rPr>
                <w:rFonts w:hint="eastAsia" w:ascii="宋体" w:hAnsi="宋体" w:cs="宋体"/>
                <w:sz w:val="18"/>
                <w:szCs w:val="18"/>
              </w:rPr>
              <w:t>□杂乱无章</w:t>
            </w:r>
          </w:p>
        </w:tc>
        <w:tc>
          <w:tcPr>
            <w:tcW w:w="1412" w:type="dxa"/>
            <w:gridSpan w:val="3"/>
            <w:tcBorders>
              <w:top w:val="single" w:color="auto" w:sz="4" w:space="0"/>
              <w:left w:val="single" w:color="auto" w:sz="4" w:space="0"/>
              <w:bottom w:val="single" w:color="auto" w:sz="4" w:space="0"/>
              <w:right w:val="single" w:color="auto" w:sz="4" w:space="0"/>
            </w:tcBorders>
            <w:vAlign w:val="center"/>
          </w:tcPr>
          <w:p w14:paraId="799AC24D">
            <w:pPr>
              <w:spacing w:line="240" w:lineRule="auto"/>
              <w:rPr>
                <w:rFonts w:ascii="宋体" w:hAnsi="宋体" w:cs="宋体"/>
                <w:sz w:val="18"/>
                <w:szCs w:val="18"/>
              </w:rPr>
            </w:pPr>
            <w:r>
              <w:rPr>
                <w:rFonts w:hint="eastAsia" w:ascii="宋体" w:hAnsi="宋体" w:cs="宋体"/>
                <w:sz w:val="18"/>
                <w:szCs w:val="18"/>
              </w:rPr>
              <w:t>□同期  □分期</w:t>
            </w:r>
          </w:p>
        </w:tc>
        <w:tc>
          <w:tcPr>
            <w:tcW w:w="1437" w:type="dxa"/>
            <w:gridSpan w:val="3"/>
            <w:vMerge w:val="restart"/>
            <w:tcBorders>
              <w:top w:val="single" w:color="auto" w:sz="4" w:space="0"/>
              <w:left w:val="single" w:color="auto" w:sz="4" w:space="0"/>
              <w:right w:val="single" w:color="auto" w:sz="4" w:space="0"/>
            </w:tcBorders>
            <w:vAlign w:val="center"/>
          </w:tcPr>
          <w:p w14:paraId="411D01C7">
            <w:pPr>
              <w:spacing w:line="240" w:lineRule="auto"/>
              <w:jc w:val="right"/>
              <w:rPr>
                <w:rFonts w:ascii="宋体" w:hAnsi="宋体"/>
                <w:sz w:val="18"/>
                <w:szCs w:val="18"/>
              </w:rPr>
            </w:pPr>
            <w:r>
              <w:rPr>
                <w:rFonts w:hint="eastAsia" w:ascii="宋体" w:hAnsi="宋体" w:cs="宋体"/>
                <w:sz w:val="18"/>
                <w:szCs w:val="18"/>
              </w:rPr>
              <w:t>年  月  日</w:t>
            </w:r>
          </w:p>
        </w:tc>
        <w:tc>
          <w:tcPr>
            <w:tcW w:w="1566" w:type="dxa"/>
            <w:gridSpan w:val="2"/>
            <w:vMerge w:val="restart"/>
            <w:tcBorders>
              <w:top w:val="single" w:color="auto" w:sz="4" w:space="0"/>
              <w:left w:val="single" w:color="auto" w:sz="4" w:space="0"/>
              <w:bottom w:val="single" w:color="auto" w:sz="4" w:space="0"/>
              <w:right w:val="single" w:color="auto" w:sz="4" w:space="0"/>
            </w:tcBorders>
            <w:vAlign w:val="center"/>
          </w:tcPr>
          <w:p w14:paraId="10DA083C">
            <w:pPr>
              <w:spacing w:line="240" w:lineRule="auto"/>
              <w:rPr>
                <w:rFonts w:ascii="宋体" w:hAnsi="宋体"/>
                <w:sz w:val="18"/>
                <w:szCs w:val="18"/>
              </w:rPr>
            </w:pPr>
            <w:r>
              <w:rPr>
                <w:rFonts w:hint="eastAsia" w:ascii="宋体" w:hAnsi="宋体" w:cs="宋体"/>
                <w:sz w:val="18"/>
                <w:szCs w:val="18"/>
              </w:rPr>
              <w:t>从    年  月  日</w:t>
            </w:r>
          </w:p>
          <w:p w14:paraId="177AB094">
            <w:pPr>
              <w:spacing w:line="240" w:lineRule="auto"/>
              <w:rPr>
                <w:rFonts w:ascii="宋体" w:hAnsi="宋体"/>
                <w:sz w:val="18"/>
                <w:szCs w:val="18"/>
              </w:rPr>
            </w:pPr>
            <w:r>
              <w:rPr>
                <w:rFonts w:hint="eastAsia" w:ascii="宋体" w:hAnsi="宋体" w:cs="宋体"/>
                <w:sz w:val="18"/>
                <w:szCs w:val="18"/>
              </w:rPr>
              <w:t>至    年  月  日</w:t>
            </w:r>
          </w:p>
        </w:tc>
        <w:tc>
          <w:tcPr>
            <w:tcW w:w="1384" w:type="dxa"/>
            <w:gridSpan w:val="2"/>
            <w:vMerge w:val="restart"/>
            <w:tcBorders>
              <w:top w:val="single" w:color="auto" w:sz="4" w:space="0"/>
              <w:left w:val="single" w:color="auto" w:sz="4" w:space="0"/>
              <w:bottom w:val="single" w:color="auto" w:sz="4" w:space="0"/>
              <w:right w:val="single" w:color="auto" w:sz="4" w:space="0"/>
            </w:tcBorders>
            <w:vAlign w:val="center"/>
          </w:tcPr>
          <w:p w14:paraId="58D4DBE1">
            <w:pPr>
              <w:spacing w:line="240" w:lineRule="auto"/>
              <w:jc w:val="right"/>
              <w:rPr>
                <w:rFonts w:ascii="宋体" w:hAnsi="宋体"/>
                <w:sz w:val="18"/>
                <w:szCs w:val="18"/>
              </w:rPr>
            </w:pPr>
            <w:r>
              <w:rPr>
                <w:rFonts w:hint="eastAsia" w:ascii="宋体" w:hAnsi="宋体" w:cs="宋体"/>
                <w:sz w:val="18"/>
                <w:szCs w:val="18"/>
              </w:rPr>
              <w:t>年  月  日</w:t>
            </w:r>
          </w:p>
        </w:tc>
        <w:tc>
          <w:tcPr>
            <w:tcW w:w="1107" w:type="dxa"/>
            <w:vMerge w:val="restart"/>
            <w:tcBorders>
              <w:top w:val="single" w:color="auto" w:sz="4" w:space="0"/>
              <w:left w:val="single" w:color="auto" w:sz="4" w:space="0"/>
              <w:bottom w:val="single" w:color="auto" w:sz="4" w:space="0"/>
              <w:right w:val="single" w:color="auto" w:sz="4" w:space="0"/>
            </w:tcBorders>
            <w:vAlign w:val="center"/>
          </w:tcPr>
          <w:p w14:paraId="790436D4">
            <w:pPr>
              <w:spacing w:line="240" w:lineRule="auto"/>
              <w:jc w:val="center"/>
              <w:rPr>
                <w:rFonts w:ascii="宋体" w:hAnsi="宋体" w:cs="宋体"/>
                <w:sz w:val="18"/>
                <w:szCs w:val="18"/>
              </w:rPr>
            </w:pPr>
            <w:r>
              <w:rPr>
                <w:rFonts w:hint="eastAsia" w:ascii="宋体" w:hAnsi="宋体" w:cs="宋体"/>
                <w:sz w:val="18"/>
                <w:szCs w:val="18"/>
              </w:rPr>
              <w:t>□趋势强</w:t>
            </w:r>
          </w:p>
          <w:p w14:paraId="31B85907">
            <w:pPr>
              <w:spacing w:line="240" w:lineRule="auto"/>
              <w:jc w:val="center"/>
              <w:rPr>
                <w:rFonts w:ascii="宋体" w:hAnsi="宋体"/>
                <w:sz w:val="18"/>
                <w:szCs w:val="18"/>
              </w:rPr>
            </w:pPr>
            <w:r>
              <w:rPr>
                <w:rFonts w:hint="eastAsia" w:ascii="宋体" w:hAnsi="宋体" w:cs="宋体"/>
                <w:sz w:val="18"/>
                <w:szCs w:val="18"/>
              </w:rPr>
              <w:t>□趋势弱</w:t>
            </w:r>
          </w:p>
        </w:tc>
      </w:tr>
      <w:tr w14:paraId="2DB43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72"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0A3D6A96">
            <w:pPr>
              <w:spacing w:line="240" w:lineRule="auto"/>
              <w:rPr>
                <w:rFonts w:ascii="宋体" w:hAnsi="宋体"/>
                <w:sz w:val="18"/>
                <w:szCs w:val="18"/>
              </w:rPr>
            </w:pPr>
          </w:p>
        </w:tc>
        <w:tc>
          <w:tcPr>
            <w:tcW w:w="617" w:type="dxa"/>
            <w:vMerge w:val="continue"/>
            <w:tcBorders>
              <w:top w:val="single" w:color="auto" w:sz="4" w:space="0"/>
              <w:left w:val="single" w:color="auto" w:sz="4" w:space="0"/>
              <w:bottom w:val="single" w:color="auto" w:sz="4" w:space="0"/>
              <w:right w:val="single" w:color="auto" w:sz="4" w:space="0"/>
            </w:tcBorders>
            <w:vAlign w:val="center"/>
          </w:tcPr>
          <w:p w14:paraId="712EBA01">
            <w:pPr>
              <w:spacing w:line="240" w:lineRule="auto"/>
              <w:rPr>
                <w:rFonts w:ascii="宋体" w:hAnsi="宋体"/>
                <w:sz w:val="18"/>
                <w:szCs w:val="18"/>
              </w:rPr>
            </w:pPr>
          </w:p>
        </w:tc>
        <w:tc>
          <w:tcPr>
            <w:tcW w:w="553" w:type="dxa"/>
            <w:vMerge w:val="continue"/>
            <w:tcBorders>
              <w:top w:val="single" w:color="auto" w:sz="4" w:space="0"/>
              <w:left w:val="single" w:color="auto" w:sz="4" w:space="0"/>
              <w:bottom w:val="single" w:color="auto" w:sz="4" w:space="0"/>
              <w:right w:val="single" w:color="auto" w:sz="4" w:space="0"/>
            </w:tcBorders>
            <w:vAlign w:val="center"/>
          </w:tcPr>
          <w:p w14:paraId="28A2BD70">
            <w:pPr>
              <w:spacing w:line="240" w:lineRule="auto"/>
              <w:rPr>
                <w:rFonts w:ascii="宋体" w:hAnsi="宋体"/>
                <w:sz w:val="18"/>
                <w:szCs w:val="18"/>
              </w:rPr>
            </w:pP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064A3BF2">
            <w:pPr>
              <w:spacing w:line="240" w:lineRule="auto"/>
              <w:rPr>
                <w:rFonts w:ascii="宋体" w:hAnsi="宋体"/>
                <w:sz w:val="18"/>
                <w:szCs w:val="18"/>
              </w:rPr>
            </w:pPr>
          </w:p>
        </w:tc>
        <w:tc>
          <w:tcPr>
            <w:tcW w:w="1487" w:type="dxa"/>
            <w:gridSpan w:val="2"/>
            <w:vMerge w:val="continue"/>
            <w:tcBorders>
              <w:left w:val="single" w:color="auto" w:sz="4" w:space="0"/>
              <w:right w:val="single" w:color="auto" w:sz="4" w:space="0"/>
            </w:tcBorders>
            <w:vAlign w:val="center"/>
          </w:tcPr>
          <w:p w14:paraId="68EA669D">
            <w:pPr>
              <w:spacing w:line="240" w:lineRule="auto"/>
              <w:rPr>
                <w:rFonts w:ascii="宋体" w:hAnsi="宋体"/>
                <w:sz w:val="18"/>
                <w:szCs w:val="18"/>
              </w:rPr>
            </w:pPr>
          </w:p>
        </w:tc>
        <w:tc>
          <w:tcPr>
            <w:tcW w:w="3041" w:type="dxa"/>
            <w:gridSpan w:val="5"/>
            <w:vMerge w:val="continue"/>
            <w:tcBorders>
              <w:left w:val="single" w:color="auto" w:sz="4" w:space="0"/>
              <w:right w:val="single" w:color="auto" w:sz="4" w:space="0"/>
            </w:tcBorders>
            <w:vAlign w:val="center"/>
          </w:tcPr>
          <w:p w14:paraId="036F7B9E">
            <w:pPr>
              <w:spacing w:line="240" w:lineRule="auto"/>
              <w:rPr>
                <w:rFonts w:ascii="宋体" w:hAnsi="宋体"/>
                <w:sz w:val="18"/>
                <w:szCs w:val="18"/>
              </w:rPr>
            </w:pPr>
          </w:p>
        </w:tc>
        <w:tc>
          <w:tcPr>
            <w:tcW w:w="1412" w:type="dxa"/>
            <w:gridSpan w:val="3"/>
            <w:tcBorders>
              <w:top w:val="single" w:color="auto" w:sz="4" w:space="0"/>
              <w:left w:val="single" w:color="auto" w:sz="4" w:space="0"/>
              <w:right w:val="single" w:color="auto" w:sz="4" w:space="0"/>
            </w:tcBorders>
            <w:vAlign w:val="center"/>
          </w:tcPr>
          <w:p w14:paraId="66E6030F">
            <w:pPr>
              <w:spacing w:line="240" w:lineRule="auto"/>
              <w:rPr>
                <w:rFonts w:ascii="宋体" w:hAnsi="宋体" w:cs="宋体"/>
                <w:sz w:val="18"/>
                <w:szCs w:val="18"/>
              </w:rPr>
            </w:pPr>
            <w:r>
              <w:rPr>
                <w:rFonts w:hint="eastAsia" w:ascii="宋体" w:hAnsi="宋体" w:cs="宋体"/>
                <w:sz w:val="18"/>
                <w:szCs w:val="18"/>
              </w:rPr>
              <w:t>□错开  □限制</w:t>
            </w:r>
          </w:p>
          <w:p w14:paraId="21104C2A">
            <w:pPr>
              <w:spacing w:line="240" w:lineRule="auto"/>
              <w:rPr>
                <w:rFonts w:ascii="宋体" w:hAnsi="宋体" w:cs="宋体"/>
                <w:sz w:val="18"/>
                <w:szCs w:val="18"/>
              </w:rPr>
            </w:pPr>
            <w:r>
              <w:rPr>
                <w:rFonts w:hint="eastAsia" w:ascii="宋体" w:hAnsi="宋体" w:cs="宋体"/>
                <w:sz w:val="18"/>
                <w:szCs w:val="18"/>
              </w:rPr>
              <w:t>□互切  □追踪</w:t>
            </w:r>
          </w:p>
        </w:tc>
        <w:tc>
          <w:tcPr>
            <w:tcW w:w="1437" w:type="dxa"/>
            <w:gridSpan w:val="3"/>
            <w:vMerge w:val="continue"/>
            <w:tcBorders>
              <w:left w:val="single" w:color="auto" w:sz="4" w:space="0"/>
              <w:right w:val="single" w:color="auto" w:sz="4" w:space="0"/>
            </w:tcBorders>
            <w:vAlign w:val="center"/>
          </w:tcPr>
          <w:p w14:paraId="0946A873">
            <w:pPr>
              <w:spacing w:line="240" w:lineRule="auto"/>
              <w:rPr>
                <w:rFonts w:ascii="宋体" w:hAnsi="宋体"/>
                <w:sz w:val="18"/>
                <w:szCs w:val="18"/>
              </w:rPr>
            </w:pPr>
          </w:p>
        </w:tc>
        <w:tc>
          <w:tcPr>
            <w:tcW w:w="1566" w:type="dxa"/>
            <w:gridSpan w:val="2"/>
            <w:vMerge w:val="continue"/>
            <w:tcBorders>
              <w:top w:val="single" w:color="auto" w:sz="4" w:space="0"/>
              <w:left w:val="single" w:color="auto" w:sz="4" w:space="0"/>
              <w:bottom w:val="single" w:color="auto" w:sz="4" w:space="0"/>
              <w:right w:val="single" w:color="auto" w:sz="4" w:space="0"/>
            </w:tcBorders>
            <w:vAlign w:val="center"/>
          </w:tcPr>
          <w:p w14:paraId="76B8F84D">
            <w:pPr>
              <w:spacing w:line="240" w:lineRule="auto"/>
              <w:rPr>
                <w:rFonts w:ascii="宋体" w:hAnsi="宋体"/>
                <w:sz w:val="18"/>
                <w:szCs w:val="18"/>
              </w:rPr>
            </w:pPr>
          </w:p>
        </w:tc>
        <w:tc>
          <w:tcPr>
            <w:tcW w:w="1384" w:type="dxa"/>
            <w:gridSpan w:val="2"/>
            <w:vMerge w:val="continue"/>
            <w:tcBorders>
              <w:top w:val="single" w:color="auto" w:sz="4" w:space="0"/>
              <w:left w:val="single" w:color="auto" w:sz="4" w:space="0"/>
              <w:bottom w:val="single" w:color="auto" w:sz="4" w:space="0"/>
              <w:right w:val="single" w:color="auto" w:sz="4" w:space="0"/>
            </w:tcBorders>
            <w:vAlign w:val="center"/>
          </w:tcPr>
          <w:p w14:paraId="311A887A">
            <w:pPr>
              <w:spacing w:line="240" w:lineRule="auto"/>
              <w:rPr>
                <w:rFonts w:ascii="宋体" w:hAnsi="宋体"/>
                <w:sz w:val="18"/>
                <w:szCs w:val="18"/>
              </w:rPr>
            </w:pPr>
          </w:p>
        </w:tc>
        <w:tc>
          <w:tcPr>
            <w:tcW w:w="1107" w:type="dxa"/>
            <w:vMerge w:val="continue"/>
            <w:tcBorders>
              <w:top w:val="single" w:color="auto" w:sz="4" w:space="0"/>
              <w:left w:val="single" w:color="auto" w:sz="4" w:space="0"/>
              <w:bottom w:val="single" w:color="auto" w:sz="4" w:space="0"/>
              <w:right w:val="single" w:color="auto" w:sz="4" w:space="0"/>
            </w:tcBorders>
            <w:vAlign w:val="center"/>
          </w:tcPr>
          <w:p w14:paraId="61F27660">
            <w:pPr>
              <w:spacing w:line="240" w:lineRule="auto"/>
              <w:rPr>
                <w:rFonts w:ascii="宋体" w:hAnsi="宋体"/>
                <w:sz w:val="18"/>
                <w:szCs w:val="18"/>
              </w:rPr>
            </w:pPr>
          </w:p>
        </w:tc>
      </w:tr>
      <w:tr w14:paraId="05D0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12" w:hRule="atLeast"/>
          <w:jc w:val="center"/>
        </w:trPr>
        <w:tc>
          <w:tcPr>
            <w:tcW w:w="517" w:type="dxa"/>
            <w:gridSpan w:val="2"/>
            <w:vMerge w:val="continue"/>
            <w:tcBorders>
              <w:top w:val="single" w:color="auto" w:sz="4" w:space="0"/>
              <w:left w:val="single" w:color="auto" w:sz="4" w:space="0"/>
              <w:bottom w:val="single" w:color="auto" w:sz="4" w:space="0"/>
              <w:right w:val="single" w:color="auto" w:sz="4" w:space="0"/>
            </w:tcBorders>
            <w:vAlign w:val="center"/>
          </w:tcPr>
          <w:p w14:paraId="763D18ED">
            <w:pPr>
              <w:spacing w:line="240" w:lineRule="auto"/>
              <w:rPr>
                <w:rFonts w:ascii="宋体" w:hAnsi="宋体"/>
                <w:sz w:val="18"/>
                <w:szCs w:val="18"/>
              </w:rPr>
            </w:pPr>
          </w:p>
        </w:tc>
        <w:tc>
          <w:tcPr>
            <w:tcW w:w="617" w:type="dxa"/>
            <w:vMerge w:val="continue"/>
            <w:tcBorders>
              <w:top w:val="single" w:color="auto" w:sz="4" w:space="0"/>
              <w:left w:val="single" w:color="auto" w:sz="4" w:space="0"/>
              <w:bottom w:val="single" w:color="auto" w:sz="4" w:space="0"/>
              <w:right w:val="single" w:color="auto" w:sz="4" w:space="0"/>
            </w:tcBorders>
            <w:vAlign w:val="center"/>
          </w:tcPr>
          <w:p w14:paraId="20F240DF">
            <w:pPr>
              <w:spacing w:line="240" w:lineRule="auto"/>
              <w:rPr>
                <w:rFonts w:ascii="宋体" w:hAnsi="宋体"/>
                <w:sz w:val="18"/>
                <w:szCs w:val="18"/>
              </w:rPr>
            </w:pPr>
          </w:p>
        </w:tc>
        <w:tc>
          <w:tcPr>
            <w:tcW w:w="553" w:type="dxa"/>
            <w:vMerge w:val="continue"/>
            <w:tcBorders>
              <w:top w:val="single" w:color="auto" w:sz="4" w:space="0"/>
              <w:left w:val="single" w:color="auto" w:sz="4" w:space="0"/>
              <w:bottom w:val="single" w:color="auto" w:sz="4" w:space="0"/>
              <w:right w:val="single" w:color="auto" w:sz="4" w:space="0"/>
            </w:tcBorders>
            <w:vAlign w:val="center"/>
          </w:tcPr>
          <w:p w14:paraId="08AF7FC2">
            <w:pPr>
              <w:spacing w:line="240" w:lineRule="auto"/>
              <w:rPr>
                <w:rFonts w:ascii="宋体" w:hAnsi="宋体"/>
                <w:sz w:val="18"/>
                <w:szCs w:val="18"/>
              </w:rPr>
            </w:pP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4FC4F9A9">
            <w:pPr>
              <w:spacing w:line="240" w:lineRule="auto"/>
              <w:rPr>
                <w:rFonts w:ascii="宋体" w:hAnsi="宋体"/>
                <w:sz w:val="18"/>
                <w:szCs w:val="18"/>
              </w:rPr>
            </w:pPr>
          </w:p>
        </w:tc>
        <w:tc>
          <w:tcPr>
            <w:tcW w:w="1487" w:type="dxa"/>
            <w:gridSpan w:val="2"/>
            <w:vMerge w:val="continue"/>
            <w:tcBorders>
              <w:left w:val="single" w:color="auto" w:sz="4" w:space="0"/>
              <w:bottom w:val="single" w:color="auto" w:sz="4" w:space="0"/>
              <w:right w:val="single" w:color="auto" w:sz="4" w:space="0"/>
            </w:tcBorders>
            <w:vAlign w:val="center"/>
          </w:tcPr>
          <w:p w14:paraId="52AAAD79">
            <w:pPr>
              <w:spacing w:line="240" w:lineRule="auto"/>
              <w:rPr>
                <w:rFonts w:ascii="宋体" w:hAnsi="宋体"/>
                <w:sz w:val="18"/>
                <w:szCs w:val="18"/>
              </w:rPr>
            </w:pPr>
          </w:p>
        </w:tc>
        <w:tc>
          <w:tcPr>
            <w:tcW w:w="3041" w:type="dxa"/>
            <w:gridSpan w:val="5"/>
            <w:vMerge w:val="continue"/>
            <w:tcBorders>
              <w:left w:val="single" w:color="auto" w:sz="4" w:space="0"/>
              <w:bottom w:val="single" w:color="auto" w:sz="4" w:space="0"/>
              <w:right w:val="single" w:color="auto" w:sz="4" w:space="0"/>
            </w:tcBorders>
            <w:vAlign w:val="center"/>
          </w:tcPr>
          <w:p w14:paraId="78CDD611">
            <w:pPr>
              <w:spacing w:line="240" w:lineRule="auto"/>
              <w:rPr>
                <w:rFonts w:ascii="宋体" w:hAnsi="宋体"/>
                <w:sz w:val="18"/>
                <w:szCs w:val="18"/>
              </w:rPr>
            </w:pPr>
          </w:p>
        </w:tc>
        <w:tc>
          <w:tcPr>
            <w:tcW w:w="1412" w:type="dxa"/>
            <w:gridSpan w:val="3"/>
            <w:tcBorders>
              <w:top w:val="single" w:color="auto" w:sz="4" w:space="0"/>
              <w:left w:val="single" w:color="auto" w:sz="4" w:space="0"/>
              <w:bottom w:val="single" w:color="auto" w:sz="4" w:space="0"/>
              <w:right w:val="single" w:color="auto" w:sz="4" w:space="0"/>
            </w:tcBorders>
            <w:vAlign w:val="center"/>
          </w:tcPr>
          <w:p w14:paraId="0B9A4596">
            <w:pPr>
              <w:spacing w:line="240" w:lineRule="auto"/>
              <w:rPr>
                <w:rFonts w:ascii="宋体" w:hAnsi="宋体" w:cs="宋体"/>
                <w:sz w:val="18"/>
                <w:szCs w:val="18"/>
              </w:rPr>
            </w:pPr>
            <w:r>
              <w:rPr>
                <w:rFonts w:hint="eastAsia" w:ascii="宋体" w:hAnsi="宋体" w:cs="宋体"/>
                <w:sz w:val="18"/>
                <w:szCs w:val="18"/>
              </w:rPr>
              <w:t>□主次  □派生</w:t>
            </w:r>
          </w:p>
        </w:tc>
        <w:tc>
          <w:tcPr>
            <w:tcW w:w="1437" w:type="dxa"/>
            <w:gridSpan w:val="3"/>
            <w:vMerge w:val="continue"/>
            <w:tcBorders>
              <w:left w:val="single" w:color="auto" w:sz="4" w:space="0"/>
              <w:bottom w:val="single" w:color="auto" w:sz="4" w:space="0"/>
              <w:right w:val="single" w:color="auto" w:sz="4" w:space="0"/>
            </w:tcBorders>
            <w:vAlign w:val="center"/>
          </w:tcPr>
          <w:p w14:paraId="386C4543">
            <w:pPr>
              <w:spacing w:line="240" w:lineRule="auto"/>
              <w:rPr>
                <w:rFonts w:ascii="宋体" w:hAnsi="宋体"/>
                <w:sz w:val="18"/>
                <w:szCs w:val="18"/>
              </w:rPr>
            </w:pPr>
          </w:p>
        </w:tc>
        <w:tc>
          <w:tcPr>
            <w:tcW w:w="1566" w:type="dxa"/>
            <w:gridSpan w:val="2"/>
            <w:vMerge w:val="continue"/>
            <w:tcBorders>
              <w:top w:val="single" w:color="auto" w:sz="4" w:space="0"/>
              <w:left w:val="single" w:color="auto" w:sz="4" w:space="0"/>
              <w:bottom w:val="single" w:color="auto" w:sz="4" w:space="0"/>
              <w:right w:val="single" w:color="auto" w:sz="4" w:space="0"/>
            </w:tcBorders>
            <w:vAlign w:val="center"/>
          </w:tcPr>
          <w:p w14:paraId="2CA9F6E7">
            <w:pPr>
              <w:spacing w:line="240" w:lineRule="auto"/>
              <w:rPr>
                <w:rFonts w:ascii="宋体" w:hAnsi="宋体"/>
                <w:sz w:val="18"/>
                <w:szCs w:val="18"/>
              </w:rPr>
            </w:pPr>
          </w:p>
        </w:tc>
        <w:tc>
          <w:tcPr>
            <w:tcW w:w="1384" w:type="dxa"/>
            <w:gridSpan w:val="2"/>
            <w:vMerge w:val="continue"/>
            <w:tcBorders>
              <w:top w:val="single" w:color="auto" w:sz="4" w:space="0"/>
              <w:left w:val="single" w:color="auto" w:sz="4" w:space="0"/>
              <w:bottom w:val="single" w:color="auto" w:sz="4" w:space="0"/>
              <w:right w:val="single" w:color="auto" w:sz="4" w:space="0"/>
            </w:tcBorders>
            <w:vAlign w:val="center"/>
          </w:tcPr>
          <w:p w14:paraId="0F71D469">
            <w:pPr>
              <w:spacing w:line="240" w:lineRule="auto"/>
              <w:rPr>
                <w:rFonts w:ascii="宋体" w:hAnsi="宋体"/>
                <w:sz w:val="18"/>
                <w:szCs w:val="18"/>
              </w:rPr>
            </w:pPr>
          </w:p>
        </w:tc>
        <w:tc>
          <w:tcPr>
            <w:tcW w:w="1107" w:type="dxa"/>
            <w:vMerge w:val="continue"/>
            <w:tcBorders>
              <w:top w:val="single" w:color="auto" w:sz="4" w:space="0"/>
              <w:left w:val="single" w:color="auto" w:sz="4" w:space="0"/>
              <w:bottom w:val="single" w:color="auto" w:sz="4" w:space="0"/>
              <w:right w:val="single" w:color="auto" w:sz="4" w:space="0"/>
            </w:tcBorders>
            <w:vAlign w:val="center"/>
          </w:tcPr>
          <w:p w14:paraId="1CEE877B">
            <w:pPr>
              <w:spacing w:line="240" w:lineRule="auto"/>
              <w:rPr>
                <w:rFonts w:ascii="宋体" w:hAnsi="宋体"/>
                <w:sz w:val="18"/>
                <w:szCs w:val="18"/>
              </w:rPr>
            </w:pPr>
          </w:p>
        </w:tc>
      </w:tr>
      <w:tr w14:paraId="37649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23" w:hRule="atLeast"/>
          <w:jc w:val="center"/>
        </w:trPr>
        <w:tc>
          <w:tcPr>
            <w:tcW w:w="1134" w:type="dxa"/>
            <w:gridSpan w:val="3"/>
            <w:tcBorders>
              <w:top w:val="single" w:color="auto" w:sz="4" w:space="0"/>
              <w:left w:val="single" w:color="auto" w:sz="4" w:space="0"/>
              <w:bottom w:val="single" w:color="auto" w:sz="4" w:space="0"/>
              <w:right w:val="single" w:color="auto" w:sz="4" w:space="0"/>
            </w:tcBorders>
            <w:vAlign w:val="center"/>
          </w:tcPr>
          <w:p w14:paraId="1DEE54BE">
            <w:pPr>
              <w:spacing w:line="240" w:lineRule="auto"/>
              <w:jc w:val="center"/>
              <w:rPr>
                <w:rFonts w:ascii="宋体" w:hAnsi="宋体"/>
                <w:sz w:val="18"/>
                <w:szCs w:val="18"/>
              </w:rPr>
            </w:pPr>
            <w:r>
              <w:rPr>
                <w:rFonts w:hint="eastAsia" w:ascii="宋体" w:hAnsi="宋体" w:cs="宋体"/>
                <w:sz w:val="18"/>
                <w:szCs w:val="18"/>
              </w:rPr>
              <w:t>成因类型</w:t>
            </w:r>
          </w:p>
        </w:tc>
        <w:tc>
          <w:tcPr>
            <w:tcW w:w="12778" w:type="dxa"/>
            <w:gridSpan w:val="20"/>
            <w:tcBorders>
              <w:top w:val="single" w:color="auto" w:sz="4" w:space="0"/>
              <w:left w:val="single" w:color="auto" w:sz="4" w:space="0"/>
              <w:bottom w:val="single" w:color="auto" w:sz="4" w:space="0"/>
              <w:right w:val="single" w:color="auto" w:sz="4" w:space="0"/>
            </w:tcBorders>
            <w:vAlign w:val="center"/>
          </w:tcPr>
          <w:p w14:paraId="5B35BB70">
            <w:pPr>
              <w:spacing w:line="240" w:lineRule="auto"/>
              <w:rPr>
                <w:rFonts w:ascii="宋体" w:hAnsi="宋体"/>
                <w:sz w:val="18"/>
                <w:szCs w:val="18"/>
              </w:rPr>
            </w:pPr>
            <w:r>
              <w:rPr>
                <w:rFonts w:hint="eastAsia" w:ascii="宋体" w:hAnsi="宋体" w:cs="宋体"/>
                <w:sz w:val="18"/>
                <w:szCs w:val="18"/>
              </w:rPr>
              <w:t>□抽排地下水引起       □开采石油、天然气引起       □构造活动引起       □其它（成因：            ）</w:t>
            </w:r>
          </w:p>
        </w:tc>
      </w:tr>
      <w:tr w14:paraId="676DF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269" w:type="dxa"/>
            <w:vMerge w:val="restart"/>
            <w:tcBorders>
              <w:top w:val="single" w:color="auto" w:sz="4" w:space="0"/>
              <w:left w:val="single" w:color="auto" w:sz="4" w:space="0"/>
              <w:bottom w:val="single" w:color="auto" w:sz="4" w:space="0"/>
              <w:right w:val="single" w:color="auto" w:sz="4" w:space="0"/>
            </w:tcBorders>
            <w:vAlign w:val="center"/>
          </w:tcPr>
          <w:p w14:paraId="29F3056A">
            <w:pPr>
              <w:spacing w:line="240" w:lineRule="auto"/>
              <w:jc w:val="center"/>
              <w:rPr>
                <w:rFonts w:ascii="宋体" w:hAnsi="宋体"/>
                <w:sz w:val="18"/>
                <w:szCs w:val="18"/>
              </w:rPr>
            </w:pPr>
            <w:r>
              <w:rPr>
                <w:rFonts w:hint="eastAsia" w:ascii="宋体" w:hAnsi="宋体" w:cs="宋体"/>
                <w:sz w:val="18"/>
                <w:szCs w:val="18"/>
              </w:rPr>
              <w:t>形</w:t>
            </w:r>
          </w:p>
          <w:p w14:paraId="6B236BB4">
            <w:pPr>
              <w:spacing w:line="240" w:lineRule="auto"/>
              <w:jc w:val="center"/>
              <w:rPr>
                <w:rFonts w:ascii="宋体" w:hAnsi="宋体"/>
                <w:sz w:val="18"/>
                <w:szCs w:val="18"/>
              </w:rPr>
            </w:pPr>
            <w:r>
              <w:rPr>
                <w:rFonts w:hint="eastAsia" w:ascii="宋体" w:hAnsi="宋体" w:cs="宋体"/>
                <w:sz w:val="18"/>
                <w:szCs w:val="18"/>
              </w:rPr>
              <w:t>成</w:t>
            </w:r>
          </w:p>
          <w:p w14:paraId="48E7BB12">
            <w:pPr>
              <w:spacing w:line="240" w:lineRule="auto"/>
              <w:jc w:val="center"/>
              <w:rPr>
                <w:rFonts w:ascii="宋体" w:hAnsi="宋体"/>
                <w:sz w:val="18"/>
                <w:szCs w:val="18"/>
              </w:rPr>
            </w:pPr>
            <w:r>
              <w:rPr>
                <w:rFonts w:hint="eastAsia" w:ascii="宋体" w:hAnsi="宋体" w:cs="宋体"/>
                <w:sz w:val="18"/>
                <w:szCs w:val="18"/>
              </w:rPr>
              <w:t>条</w:t>
            </w:r>
          </w:p>
          <w:p w14:paraId="7D0083EB">
            <w:pPr>
              <w:spacing w:line="240" w:lineRule="auto"/>
              <w:jc w:val="center"/>
              <w:rPr>
                <w:rFonts w:ascii="宋体" w:hAnsi="宋体"/>
                <w:sz w:val="18"/>
                <w:szCs w:val="18"/>
              </w:rPr>
            </w:pPr>
            <w:r>
              <w:rPr>
                <w:rFonts w:hint="eastAsia" w:ascii="宋体" w:hAnsi="宋体" w:cs="宋体"/>
                <w:sz w:val="18"/>
                <w:szCs w:val="18"/>
              </w:rPr>
              <w:t>件</w:t>
            </w:r>
          </w:p>
        </w:tc>
        <w:tc>
          <w:tcPr>
            <w:tcW w:w="865" w:type="dxa"/>
            <w:gridSpan w:val="2"/>
            <w:vMerge w:val="restart"/>
            <w:tcBorders>
              <w:top w:val="single" w:color="auto" w:sz="4" w:space="0"/>
              <w:left w:val="single" w:color="auto" w:sz="4" w:space="0"/>
              <w:bottom w:val="single" w:color="auto" w:sz="4" w:space="0"/>
              <w:right w:val="single" w:color="auto" w:sz="4" w:space="0"/>
            </w:tcBorders>
            <w:vAlign w:val="center"/>
          </w:tcPr>
          <w:p w14:paraId="17D1BB2B">
            <w:pPr>
              <w:spacing w:line="240" w:lineRule="auto"/>
              <w:jc w:val="center"/>
              <w:rPr>
                <w:rFonts w:ascii="宋体" w:hAnsi="宋体"/>
                <w:sz w:val="18"/>
                <w:szCs w:val="18"/>
              </w:rPr>
            </w:pPr>
            <w:r>
              <w:rPr>
                <w:rFonts w:hint="eastAsia" w:ascii="宋体" w:hAnsi="宋体" w:cs="宋体"/>
                <w:sz w:val="18"/>
                <w:szCs w:val="18"/>
              </w:rPr>
              <w:t>地</w:t>
            </w:r>
          </w:p>
          <w:p w14:paraId="64063091">
            <w:pPr>
              <w:spacing w:line="240" w:lineRule="auto"/>
              <w:jc w:val="center"/>
              <w:rPr>
                <w:rFonts w:ascii="宋体" w:hAnsi="宋体"/>
                <w:sz w:val="18"/>
                <w:szCs w:val="18"/>
              </w:rPr>
            </w:pPr>
            <w:r>
              <w:rPr>
                <w:rFonts w:hint="eastAsia" w:ascii="宋体" w:hAnsi="宋体" w:cs="宋体"/>
                <w:sz w:val="18"/>
                <w:szCs w:val="18"/>
              </w:rPr>
              <w:t>质</w:t>
            </w:r>
          </w:p>
          <w:p w14:paraId="5C82239C">
            <w:pPr>
              <w:spacing w:line="240" w:lineRule="auto"/>
              <w:jc w:val="center"/>
              <w:rPr>
                <w:rFonts w:ascii="宋体" w:hAnsi="宋体"/>
                <w:sz w:val="18"/>
                <w:szCs w:val="18"/>
              </w:rPr>
            </w:pPr>
            <w:r>
              <w:rPr>
                <w:rFonts w:hint="eastAsia" w:ascii="宋体" w:hAnsi="宋体" w:cs="宋体"/>
                <w:sz w:val="18"/>
                <w:szCs w:val="18"/>
              </w:rPr>
              <w:t>环</w:t>
            </w:r>
          </w:p>
          <w:p w14:paraId="079CF7F5">
            <w:pPr>
              <w:spacing w:line="240" w:lineRule="auto"/>
              <w:jc w:val="center"/>
              <w:rPr>
                <w:rFonts w:ascii="宋体" w:hAnsi="宋体"/>
                <w:sz w:val="18"/>
                <w:szCs w:val="18"/>
              </w:rPr>
            </w:pPr>
            <w:r>
              <w:rPr>
                <w:rFonts w:hint="eastAsia" w:ascii="宋体" w:hAnsi="宋体" w:cs="宋体"/>
                <w:sz w:val="18"/>
                <w:szCs w:val="18"/>
              </w:rPr>
              <w:t>境</w:t>
            </w:r>
          </w:p>
          <w:p w14:paraId="2BE13524">
            <w:pPr>
              <w:spacing w:line="240" w:lineRule="auto"/>
              <w:jc w:val="center"/>
              <w:rPr>
                <w:rFonts w:ascii="宋体" w:hAnsi="宋体"/>
                <w:sz w:val="18"/>
                <w:szCs w:val="18"/>
              </w:rPr>
            </w:pPr>
            <w:r>
              <w:rPr>
                <w:rFonts w:hint="eastAsia" w:ascii="宋体" w:hAnsi="宋体" w:cs="宋体"/>
                <w:sz w:val="18"/>
                <w:szCs w:val="18"/>
              </w:rPr>
              <w:t>条</w:t>
            </w:r>
          </w:p>
          <w:p w14:paraId="79C07653">
            <w:pPr>
              <w:spacing w:line="240" w:lineRule="auto"/>
              <w:jc w:val="center"/>
              <w:rPr>
                <w:rFonts w:ascii="宋体" w:hAnsi="宋体"/>
                <w:sz w:val="18"/>
                <w:szCs w:val="18"/>
              </w:rPr>
            </w:pPr>
            <w:r>
              <w:rPr>
                <w:rFonts w:hint="eastAsia" w:ascii="宋体" w:hAnsi="宋体" w:cs="宋体"/>
                <w:sz w:val="18"/>
                <w:szCs w:val="18"/>
              </w:rPr>
              <w:t>件</w:t>
            </w:r>
          </w:p>
        </w:tc>
        <w:tc>
          <w:tcPr>
            <w:tcW w:w="12778" w:type="dxa"/>
            <w:gridSpan w:val="20"/>
            <w:tcBorders>
              <w:top w:val="single" w:color="auto" w:sz="4" w:space="0"/>
              <w:left w:val="single" w:color="auto" w:sz="4" w:space="0"/>
              <w:bottom w:val="single" w:color="auto" w:sz="4" w:space="0"/>
              <w:right w:val="single" w:color="auto" w:sz="4" w:space="0"/>
            </w:tcBorders>
            <w:vAlign w:val="center"/>
          </w:tcPr>
          <w:p w14:paraId="67883C98">
            <w:pPr>
              <w:spacing w:line="240" w:lineRule="auto"/>
              <w:rPr>
                <w:rFonts w:ascii="宋体" w:hAnsi="宋体" w:cs="宋体"/>
                <w:sz w:val="18"/>
                <w:szCs w:val="18"/>
              </w:rPr>
            </w:pPr>
            <w:r>
              <w:rPr>
                <w:rFonts w:hint="eastAsia" w:ascii="宋体" w:hAnsi="宋体" w:cs="宋体"/>
                <w:sz w:val="18"/>
                <w:szCs w:val="18"/>
              </w:rPr>
              <w:t xml:space="preserve">裂缝区所处地貌单元：□位于       内部；       □位于       与      交界附近；             □跨       和      。 </w:t>
            </w:r>
          </w:p>
          <w:p w14:paraId="70898987">
            <w:pPr>
              <w:spacing w:line="240" w:lineRule="auto"/>
              <w:rPr>
                <w:rFonts w:ascii="宋体" w:hAnsi="宋体"/>
                <w:sz w:val="18"/>
                <w:szCs w:val="18"/>
              </w:rPr>
            </w:pPr>
            <w:r>
              <w:rPr>
                <w:rFonts w:hint="eastAsia" w:ascii="宋体" w:hAnsi="宋体" w:cs="宋体"/>
                <w:sz w:val="18"/>
                <w:szCs w:val="18"/>
              </w:rPr>
              <w:t>裂缝与地貌或微地貌界线的走向关系：□平行     □横交      □斜交</w:t>
            </w:r>
          </w:p>
        </w:tc>
      </w:tr>
      <w:tr w14:paraId="1DAA8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1738" w:hRule="atLeast"/>
          <w:jc w:val="center"/>
        </w:trPr>
        <w:tc>
          <w:tcPr>
            <w:tcW w:w="269" w:type="dxa"/>
            <w:vMerge w:val="continue"/>
            <w:tcBorders>
              <w:top w:val="single" w:color="auto" w:sz="4" w:space="0"/>
              <w:left w:val="single" w:color="auto" w:sz="4" w:space="0"/>
              <w:bottom w:val="single" w:color="auto" w:sz="4" w:space="0"/>
              <w:right w:val="single" w:color="auto" w:sz="4" w:space="0"/>
            </w:tcBorders>
            <w:vAlign w:val="center"/>
          </w:tcPr>
          <w:p w14:paraId="00F56F42">
            <w:pPr>
              <w:spacing w:line="240" w:lineRule="auto"/>
              <w:rPr>
                <w:rFonts w:ascii="宋体" w:hAnsi="宋体"/>
                <w:sz w:val="18"/>
                <w:szCs w:val="18"/>
              </w:rPr>
            </w:pPr>
          </w:p>
        </w:tc>
        <w:tc>
          <w:tcPr>
            <w:tcW w:w="865" w:type="dxa"/>
            <w:gridSpan w:val="2"/>
            <w:vMerge w:val="continue"/>
            <w:tcBorders>
              <w:top w:val="single" w:color="auto" w:sz="4" w:space="0"/>
              <w:left w:val="single" w:color="auto" w:sz="4" w:space="0"/>
              <w:bottom w:val="single" w:color="auto" w:sz="4" w:space="0"/>
              <w:right w:val="single" w:color="auto" w:sz="4" w:space="0"/>
            </w:tcBorders>
            <w:vAlign w:val="center"/>
          </w:tcPr>
          <w:p w14:paraId="62B9E1AF">
            <w:pPr>
              <w:spacing w:line="240" w:lineRule="auto"/>
              <w:rPr>
                <w:rFonts w:ascii="宋体" w:hAnsi="宋体"/>
                <w:sz w:val="18"/>
                <w:szCs w:val="18"/>
              </w:rPr>
            </w:pPr>
          </w:p>
        </w:tc>
        <w:tc>
          <w:tcPr>
            <w:tcW w:w="4094" w:type="dxa"/>
            <w:gridSpan w:val="6"/>
            <w:tcBorders>
              <w:top w:val="single" w:color="auto" w:sz="4" w:space="0"/>
              <w:left w:val="single" w:color="auto" w:sz="4" w:space="0"/>
              <w:bottom w:val="single" w:color="auto" w:sz="4" w:space="0"/>
              <w:right w:val="single" w:color="auto" w:sz="4" w:space="0"/>
            </w:tcBorders>
            <w:vAlign w:val="center"/>
          </w:tcPr>
          <w:p w14:paraId="1013E4F3">
            <w:pPr>
              <w:spacing w:line="240" w:lineRule="auto"/>
              <w:rPr>
                <w:rFonts w:ascii="宋体" w:hAnsi="宋体"/>
                <w:sz w:val="18"/>
                <w:szCs w:val="18"/>
              </w:rPr>
            </w:pPr>
            <w:r>
              <w:rPr>
                <w:rFonts w:hint="eastAsia" w:ascii="宋体" w:hAnsi="宋体" w:cs="宋体"/>
                <w:sz w:val="18"/>
                <w:szCs w:val="18"/>
              </w:rPr>
              <w:t>受裂地层时代：            岩性：</w:t>
            </w:r>
          </w:p>
          <w:p w14:paraId="6642EC35">
            <w:pPr>
              <w:spacing w:line="240" w:lineRule="auto"/>
              <w:rPr>
                <w:rFonts w:ascii="宋体" w:hAnsi="宋体"/>
                <w:sz w:val="18"/>
                <w:szCs w:val="18"/>
              </w:rPr>
            </w:pPr>
            <w:r>
              <w:rPr>
                <w:rFonts w:hint="eastAsia" w:ascii="宋体" w:hAnsi="宋体" w:cs="宋体"/>
                <w:sz w:val="18"/>
                <w:szCs w:val="18"/>
              </w:rPr>
              <w:t>下伏地层时代：            岩性：</w:t>
            </w:r>
          </w:p>
          <w:p w14:paraId="306C945B">
            <w:pPr>
              <w:spacing w:line="240" w:lineRule="auto"/>
              <w:rPr>
                <w:rFonts w:ascii="宋体" w:hAnsi="宋体"/>
                <w:sz w:val="18"/>
                <w:szCs w:val="18"/>
              </w:rPr>
            </w:pPr>
            <w:r>
              <w:rPr>
                <w:rFonts w:hint="eastAsia" w:ascii="宋体" w:hAnsi="宋体" w:cs="宋体"/>
                <w:sz w:val="18"/>
                <w:szCs w:val="18"/>
              </w:rPr>
              <w:t>裂缝区断裂产状及特征：</w:t>
            </w:r>
          </w:p>
        </w:tc>
        <w:tc>
          <w:tcPr>
            <w:tcW w:w="4460" w:type="dxa"/>
            <w:gridSpan w:val="8"/>
            <w:tcBorders>
              <w:top w:val="single" w:color="auto" w:sz="4" w:space="0"/>
              <w:left w:val="single" w:color="auto" w:sz="4" w:space="0"/>
              <w:bottom w:val="single" w:color="auto" w:sz="4" w:space="0"/>
              <w:right w:val="single" w:color="auto" w:sz="4" w:space="0"/>
            </w:tcBorders>
            <w:vAlign w:val="center"/>
          </w:tcPr>
          <w:p w14:paraId="50843E80">
            <w:pPr>
              <w:spacing w:line="240" w:lineRule="auto"/>
              <w:rPr>
                <w:rFonts w:ascii="宋体" w:hAnsi="宋体"/>
                <w:sz w:val="18"/>
                <w:szCs w:val="18"/>
              </w:rPr>
            </w:pPr>
            <w:r>
              <w:rPr>
                <w:rFonts w:hint="eastAsia" w:ascii="宋体" w:hAnsi="宋体" w:cs="宋体"/>
                <w:sz w:val="18"/>
                <w:szCs w:val="18"/>
              </w:rPr>
              <w:t>受裂地层时代：                岩性：</w:t>
            </w:r>
          </w:p>
          <w:p w14:paraId="7C5E8D5D">
            <w:pPr>
              <w:spacing w:line="240" w:lineRule="auto"/>
              <w:rPr>
                <w:rFonts w:ascii="宋体" w:hAnsi="宋体"/>
                <w:sz w:val="18"/>
                <w:szCs w:val="18"/>
              </w:rPr>
            </w:pPr>
            <w:r>
              <w:rPr>
                <w:rFonts w:hint="eastAsia" w:ascii="宋体" w:hAnsi="宋体" w:cs="宋体"/>
                <w:sz w:val="18"/>
                <w:szCs w:val="18"/>
              </w:rPr>
              <w:t>下伏地层时代：                岩性：</w:t>
            </w:r>
          </w:p>
          <w:p w14:paraId="526212F5">
            <w:pPr>
              <w:spacing w:line="240" w:lineRule="auto"/>
              <w:rPr>
                <w:rFonts w:ascii="宋体" w:hAnsi="宋体"/>
                <w:sz w:val="18"/>
                <w:szCs w:val="18"/>
              </w:rPr>
            </w:pPr>
            <w:r>
              <w:rPr>
                <w:rFonts w:hint="eastAsia" w:ascii="宋体" w:hAnsi="宋体" w:cs="宋体"/>
                <w:sz w:val="18"/>
                <w:szCs w:val="18"/>
              </w:rPr>
              <w:t>土层中构造节理产状及特征：</w:t>
            </w:r>
          </w:p>
        </w:tc>
        <w:tc>
          <w:tcPr>
            <w:tcW w:w="4224" w:type="dxa"/>
            <w:gridSpan w:val="6"/>
            <w:tcBorders>
              <w:top w:val="single" w:color="auto" w:sz="4" w:space="0"/>
              <w:left w:val="single" w:color="auto" w:sz="4" w:space="0"/>
              <w:bottom w:val="single" w:color="auto" w:sz="4" w:space="0"/>
              <w:right w:val="single" w:color="auto" w:sz="4" w:space="0"/>
            </w:tcBorders>
            <w:vAlign w:val="center"/>
          </w:tcPr>
          <w:p w14:paraId="177E29AE">
            <w:pPr>
              <w:spacing w:line="240" w:lineRule="auto"/>
              <w:rPr>
                <w:rFonts w:ascii="宋体" w:hAnsi="宋体"/>
                <w:sz w:val="18"/>
                <w:szCs w:val="18"/>
              </w:rPr>
            </w:pPr>
            <w:r>
              <w:rPr>
                <w:rFonts w:hint="eastAsia" w:ascii="宋体" w:hAnsi="宋体" w:cs="宋体"/>
                <w:sz w:val="18"/>
                <w:szCs w:val="18"/>
              </w:rPr>
              <w:t>受裂地层时代：              岩性：</w:t>
            </w:r>
          </w:p>
          <w:p w14:paraId="5E11C888">
            <w:pPr>
              <w:spacing w:line="240" w:lineRule="auto"/>
              <w:rPr>
                <w:rFonts w:ascii="宋体" w:hAnsi="宋体"/>
                <w:sz w:val="18"/>
                <w:szCs w:val="18"/>
              </w:rPr>
            </w:pPr>
            <w:r>
              <w:rPr>
                <w:rFonts w:hint="eastAsia" w:ascii="宋体" w:hAnsi="宋体" w:cs="宋体"/>
                <w:sz w:val="18"/>
                <w:szCs w:val="18"/>
              </w:rPr>
              <w:t>下伏地层时代：              岩性：</w:t>
            </w:r>
          </w:p>
          <w:p w14:paraId="6B46FED1">
            <w:pPr>
              <w:spacing w:line="240" w:lineRule="auto"/>
              <w:rPr>
                <w:rFonts w:ascii="宋体" w:hAnsi="宋体"/>
                <w:sz w:val="18"/>
                <w:szCs w:val="18"/>
              </w:rPr>
            </w:pPr>
            <w:r>
              <w:rPr>
                <w:rFonts w:hint="eastAsia" w:ascii="宋体" w:hAnsi="宋体" w:cs="宋体"/>
                <w:sz w:val="18"/>
                <w:szCs w:val="18"/>
              </w:rPr>
              <w:t>下伏不良地质体类型及特征：</w:t>
            </w:r>
          </w:p>
        </w:tc>
      </w:tr>
    </w:tbl>
    <w:p w14:paraId="327BB441">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表C</w:t>
      </w:r>
      <w:r>
        <w:rPr>
          <w:rFonts w:ascii="黑体" w:hAnsi="黑体" w:eastAsia="黑体"/>
        </w:rPr>
        <w:t>.9</w:t>
      </w:r>
      <w:r>
        <w:rPr>
          <w:rFonts w:hint="eastAsia" w:ascii="黑体" w:hAnsi="黑体" w:eastAsia="黑体"/>
        </w:rPr>
        <w:t xml:space="preserve"> 地裂缝调查记录表（续）</w:t>
      </w:r>
    </w:p>
    <w:tbl>
      <w:tblPr>
        <w:tblStyle w:val="28"/>
        <w:tblW w:w="139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269"/>
        <w:gridCol w:w="865"/>
        <w:gridCol w:w="4094"/>
        <w:gridCol w:w="589"/>
        <w:gridCol w:w="340"/>
        <w:gridCol w:w="1386"/>
        <w:gridCol w:w="731"/>
        <w:gridCol w:w="2000"/>
        <w:gridCol w:w="950"/>
        <w:gridCol w:w="355"/>
        <w:gridCol w:w="2333"/>
      </w:tblGrid>
      <w:tr w14:paraId="4530F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269" w:type="dxa"/>
            <w:vMerge w:val="restart"/>
            <w:tcBorders>
              <w:top w:val="single" w:color="auto" w:sz="4" w:space="0"/>
              <w:left w:val="single" w:color="auto" w:sz="4" w:space="0"/>
              <w:bottom w:val="single" w:color="auto" w:sz="4" w:space="0"/>
              <w:right w:val="single" w:color="auto" w:sz="4" w:space="0"/>
            </w:tcBorders>
            <w:vAlign w:val="center"/>
          </w:tcPr>
          <w:p w14:paraId="4EBEEE30"/>
          <w:p w14:paraId="0DC499B5">
            <w:pPr>
              <w:spacing w:line="240" w:lineRule="auto"/>
              <w:jc w:val="center"/>
              <w:rPr>
                <w:rFonts w:cs="宋体"/>
                <w:sz w:val="18"/>
                <w:szCs w:val="18"/>
              </w:rPr>
            </w:pPr>
            <w:r>
              <w:rPr>
                <w:rFonts w:hint="eastAsia" w:cs="宋体"/>
                <w:sz w:val="18"/>
                <w:szCs w:val="18"/>
              </w:rPr>
              <w:t>形成</w:t>
            </w:r>
          </w:p>
          <w:p w14:paraId="4A49684E">
            <w:pPr>
              <w:spacing w:line="240" w:lineRule="auto"/>
              <w:jc w:val="center"/>
              <w:rPr>
                <w:sz w:val="18"/>
                <w:szCs w:val="18"/>
              </w:rPr>
            </w:pPr>
            <w:r>
              <w:rPr>
                <w:rFonts w:hint="eastAsia" w:cs="宋体"/>
                <w:sz w:val="18"/>
                <w:szCs w:val="18"/>
              </w:rPr>
              <w:t>条件</w:t>
            </w:r>
          </w:p>
          <w:p w14:paraId="7D3350F9">
            <w:pPr>
              <w:spacing w:line="240" w:lineRule="auto"/>
              <w:jc w:val="center"/>
              <w:rPr>
                <w:sz w:val="18"/>
                <w:szCs w:val="18"/>
              </w:rPr>
            </w:pPr>
          </w:p>
        </w:tc>
        <w:tc>
          <w:tcPr>
            <w:tcW w:w="865" w:type="dxa"/>
            <w:vMerge w:val="restart"/>
            <w:tcBorders>
              <w:top w:val="single" w:color="auto" w:sz="4" w:space="0"/>
              <w:left w:val="single" w:color="auto" w:sz="4" w:space="0"/>
              <w:bottom w:val="single" w:color="auto" w:sz="4" w:space="0"/>
              <w:right w:val="single" w:color="auto" w:sz="4" w:space="0"/>
            </w:tcBorders>
            <w:vAlign w:val="center"/>
          </w:tcPr>
          <w:p w14:paraId="34B65C17"/>
          <w:p w14:paraId="52F7AD1B">
            <w:pPr>
              <w:spacing w:line="240" w:lineRule="auto"/>
              <w:jc w:val="center"/>
              <w:rPr>
                <w:sz w:val="18"/>
                <w:szCs w:val="18"/>
              </w:rPr>
            </w:pPr>
            <w:r>
              <w:rPr>
                <w:rFonts w:hint="eastAsia" w:cs="宋体"/>
                <w:sz w:val="18"/>
                <w:szCs w:val="18"/>
              </w:rPr>
              <w:t>诱发</w:t>
            </w:r>
          </w:p>
          <w:p w14:paraId="02B8BAFB">
            <w:pPr>
              <w:spacing w:line="240" w:lineRule="auto"/>
              <w:jc w:val="center"/>
              <w:rPr>
                <w:sz w:val="18"/>
                <w:szCs w:val="18"/>
              </w:rPr>
            </w:pPr>
            <w:r>
              <w:rPr>
                <w:rFonts w:hint="eastAsia" w:cs="宋体"/>
                <w:sz w:val="18"/>
                <w:szCs w:val="18"/>
              </w:rPr>
              <w:t>动力</w:t>
            </w:r>
          </w:p>
          <w:p w14:paraId="03E9DE51">
            <w:pPr>
              <w:spacing w:line="240" w:lineRule="auto"/>
              <w:jc w:val="center"/>
              <w:rPr>
                <w:sz w:val="18"/>
                <w:szCs w:val="18"/>
              </w:rPr>
            </w:pPr>
            <w:r>
              <w:rPr>
                <w:rFonts w:hint="eastAsia" w:cs="宋体"/>
                <w:sz w:val="18"/>
                <w:szCs w:val="18"/>
              </w:rPr>
              <w:t>因素</w:t>
            </w:r>
          </w:p>
          <w:p w14:paraId="3E028692">
            <w:pPr>
              <w:spacing w:line="240" w:lineRule="auto"/>
              <w:jc w:val="center"/>
              <w:rPr>
                <w:sz w:val="18"/>
                <w:szCs w:val="18"/>
              </w:rPr>
            </w:pPr>
          </w:p>
        </w:tc>
        <w:tc>
          <w:tcPr>
            <w:tcW w:w="4094" w:type="dxa"/>
            <w:tcBorders>
              <w:top w:val="single" w:color="auto" w:sz="4" w:space="0"/>
              <w:left w:val="single" w:color="auto" w:sz="4" w:space="0"/>
              <w:bottom w:val="single" w:color="auto" w:sz="4" w:space="0"/>
              <w:right w:val="single" w:color="auto" w:sz="4" w:space="0"/>
            </w:tcBorders>
            <w:vAlign w:val="center"/>
          </w:tcPr>
          <w:p w14:paraId="01F161E8">
            <w:pPr>
              <w:spacing w:line="240" w:lineRule="auto"/>
              <w:jc w:val="center"/>
              <w:rPr>
                <w:sz w:val="18"/>
                <w:szCs w:val="18"/>
              </w:rPr>
            </w:pPr>
            <w:r>
              <w:rPr>
                <w:rFonts w:hint="eastAsia" w:ascii="宋体" w:hAnsi="宋体" w:cs="宋体"/>
                <w:sz w:val="18"/>
                <w:szCs w:val="18"/>
              </w:rPr>
              <w:t>□抽排地下水</w:t>
            </w:r>
          </w:p>
        </w:tc>
        <w:tc>
          <w:tcPr>
            <w:tcW w:w="3046" w:type="dxa"/>
            <w:gridSpan w:val="4"/>
            <w:tcBorders>
              <w:top w:val="single" w:color="auto" w:sz="4" w:space="0"/>
              <w:left w:val="single" w:color="auto" w:sz="4" w:space="0"/>
              <w:bottom w:val="single" w:color="auto" w:sz="4" w:space="0"/>
              <w:right w:val="single" w:color="auto" w:sz="4" w:space="0"/>
            </w:tcBorders>
            <w:vAlign w:val="center"/>
          </w:tcPr>
          <w:p w14:paraId="2445A16D">
            <w:pPr>
              <w:spacing w:line="240" w:lineRule="auto"/>
              <w:jc w:val="center"/>
              <w:rPr>
                <w:sz w:val="18"/>
                <w:szCs w:val="18"/>
              </w:rPr>
            </w:pPr>
            <w:r>
              <w:rPr>
                <w:rFonts w:hint="eastAsia" w:ascii="宋体" w:hAnsi="宋体" w:cs="宋体"/>
                <w:sz w:val="18"/>
                <w:szCs w:val="18"/>
              </w:rPr>
              <w:t>□开采石油、天然气</w:t>
            </w:r>
          </w:p>
        </w:tc>
        <w:tc>
          <w:tcPr>
            <w:tcW w:w="2950" w:type="dxa"/>
            <w:gridSpan w:val="2"/>
            <w:tcBorders>
              <w:top w:val="single" w:color="auto" w:sz="4" w:space="0"/>
              <w:left w:val="single" w:color="auto" w:sz="4" w:space="0"/>
              <w:bottom w:val="single" w:color="auto" w:sz="4" w:space="0"/>
              <w:right w:val="single" w:color="auto" w:sz="4" w:space="0"/>
            </w:tcBorders>
            <w:vAlign w:val="center"/>
          </w:tcPr>
          <w:p w14:paraId="1E4EA985">
            <w:pPr>
              <w:spacing w:line="240" w:lineRule="auto"/>
              <w:jc w:val="center"/>
              <w:rPr>
                <w:sz w:val="18"/>
                <w:szCs w:val="18"/>
              </w:rPr>
            </w:pPr>
            <w:r>
              <w:rPr>
                <w:rFonts w:hint="eastAsia" w:ascii="宋体" w:hAnsi="宋体" w:cs="宋体"/>
                <w:sz w:val="18"/>
                <w:szCs w:val="18"/>
              </w:rPr>
              <w:t>□构造活动</w:t>
            </w:r>
          </w:p>
        </w:tc>
        <w:tc>
          <w:tcPr>
            <w:tcW w:w="2688" w:type="dxa"/>
            <w:gridSpan w:val="2"/>
            <w:tcBorders>
              <w:top w:val="single" w:color="auto" w:sz="4" w:space="0"/>
              <w:left w:val="single" w:color="auto" w:sz="4" w:space="0"/>
              <w:bottom w:val="single" w:color="auto" w:sz="4" w:space="0"/>
              <w:right w:val="single" w:color="auto" w:sz="4" w:space="0"/>
            </w:tcBorders>
            <w:vAlign w:val="center"/>
          </w:tcPr>
          <w:p w14:paraId="4ACA1268">
            <w:pPr>
              <w:spacing w:line="240" w:lineRule="auto"/>
              <w:jc w:val="center"/>
              <w:rPr>
                <w:sz w:val="18"/>
                <w:szCs w:val="18"/>
              </w:rPr>
            </w:pPr>
            <w:r>
              <w:rPr>
                <w:rFonts w:hint="eastAsia" w:ascii="宋体" w:hAnsi="宋体" w:cs="宋体"/>
                <w:sz w:val="18"/>
                <w:szCs w:val="18"/>
              </w:rPr>
              <w:t>□水理作用</w:t>
            </w:r>
          </w:p>
        </w:tc>
      </w:tr>
      <w:tr w14:paraId="3322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102" w:hRule="atLeast"/>
          <w:jc w:val="center"/>
        </w:trPr>
        <w:tc>
          <w:tcPr>
            <w:tcW w:w="269" w:type="dxa"/>
            <w:vMerge w:val="continue"/>
            <w:tcBorders>
              <w:top w:val="single" w:color="auto" w:sz="4" w:space="0"/>
              <w:left w:val="single" w:color="auto" w:sz="4" w:space="0"/>
              <w:bottom w:val="single" w:color="auto" w:sz="4" w:space="0"/>
              <w:right w:val="single" w:color="auto" w:sz="4" w:space="0"/>
            </w:tcBorders>
            <w:vAlign w:val="center"/>
          </w:tcPr>
          <w:p w14:paraId="028EDE51">
            <w:pPr>
              <w:spacing w:line="240" w:lineRule="auto"/>
              <w:rPr>
                <w:sz w:val="20"/>
              </w:rPr>
            </w:pPr>
          </w:p>
        </w:tc>
        <w:tc>
          <w:tcPr>
            <w:tcW w:w="865" w:type="dxa"/>
            <w:vMerge w:val="continue"/>
            <w:tcBorders>
              <w:top w:val="single" w:color="auto" w:sz="4" w:space="0"/>
              <w:left w:val="single" w:color="auto" w:sz="4" w:space="0"/>
              <w:bottom w:val="single" w:color="auto" w:sz="4" w:space="0"/>
              <w:right w:val="single" w:color="auto" w:sz="4" w:space="0"/>
            </w:tcBorders>
            <w:vAlign w:val="center"/>
          </w:tcPr>
          <w:p w14:paraId="3DF384FF">
            <w:pPr>
              <w:spacing w:line="240" w:lineRule="auto"/>
              <w:rPr>
                <w:sz w:val="20"/>
              </w:rPr>
            </w:pPr>
          </w:p>
        </w:tc>
        <w:tc>
          <w:tcPr>
            <w:tcW w:w="4094" w:type="dxa"/>
            <w:tcBorders>
              <w:top w:val="single" w:color="auto" w:sz="4" w:space="0"/>
              <w:left w:val="single" w:color="auto" w:sz="4" w:space="0"/>
              <w:bottom w:val="single" w:color="auto" w:sz="4" w:space="0"/>
              <w:right w:val="single" w:color="auto" w:sz="4" w:space="0"/>
            </w:tcBorders>
            <w:vAlign w:val="center"/>
          </w:tcPr>
          <w:p w14:paraId="4241EDA0">
            <w:pPr>
              <w:tabs>
                <w:tab w:val="left" w:pos="0"/>
              </w:tabs>
              <w:spacing w:line="240" w:lineRule="auto"/>
              <w:rPr>
                <w:rFonts w:ascii="宋体" w:hAnsi="宋体" w:cs="宋体"/>
                <w:sz w:val="18"/>
                <w:szCs w:val="18"/>
              </w:rPr>
            </w:pPr>
            <w:r>
              <w:rPr>
                <w:rFonts w:hint="eastAsia" w:ascii="宋体" w:hAnsi="宋体" w:cs="宋体"/>
                <w:sz w:val="18"/>
                <w:szCs w:val="18"/>
              </w:rPr>
              <w:t>□井、孔      □坑道</w:t>
            </w:r>
          </w:p>
          <w:p w14:paraId="7645EC70">
            <w:pPr>
              <w:spacing w:line="240" w:lineRule="auto"/>
              <w:rPr>
                <w:sz w:val="18"/>
                <w:szCs w:val="18"/>
              </w:rPr>
            </w:pPr>
            <w:r>
              <w:rPr>
                <w:rFonts w:hint="eastAsia" w:ascii="宋体" w:hAnsi="宋体" w:cs="宋体"/>
                <w:sz w:val="18"/>
                <w:szCs w:val="18"/>
              </w:rPr>
              <w:t xml:space="preserve">井深或坑道埋深：   </w:t>
            </w:r>
            <w:r>
              <w:rPr>
                <w:sz w:val="18"/>
                <w:szCs w:val="18"/>
              </w:rPr>
              <w:t>m</w:t>
            </w:r>
            <w:r>
              <w:rPr>
                <w:rFonts w:hint="eastAsia"/>
                <w:sz w:val="18"/>
                <w:szCs w:val="18"/>
              </w:rPr>
              <w:t>；</w:t>
            </w:r>
            <w:r>
              <w:rPr>
                <w:rFonts w:hint="eastAsia" w:cs="宋体"/>
                <w:sz w:val="18"/>
                <w:szCs w:val="18"/>
              </w:rPr>
              <w:t>含水层类型：       ；</w:t>
            </w:r>
          </w:p>
          <w:p w14:paraId="738C724E">
            <w:pPr>
              <w:spacing w:line="240" w:lineRule="auto"/>
              <w:rPr>
                <w:sz w:val="18"/>
                <w:szCs w:val="18"/>
              </w:rPr>
            </w:pPr>
            <w:r>
              <w:rPr>
                <w:rFonts w:hint="eastAsia" w:cs="宋体"/>
                <w:sz w:val="18"/>
                <w:szCs w:val="18"/>
              </w:rPr>
              <w:t xml:space="preserve">水位埋深：    </w:t>
            </w:r>
            <w:r>
              <w:rPr>
                <w:sz w:val="18"/>
                <w:szCs w:val="18"/>
              </w:rPr>
              <w:t>m</w:t>
            </w:r>
            <w:r>
              <w:rPr>
                <w:rFonts w:hint="eastAsia"/>
                <w:sz w:val="18"/>
                <w:szCs w:val="18"/>
              </w:rPr>
              <w:t>；</w:t>
            </w:r>
            <w:r>
              <w:rPr>
                <w:rFonts w:hint="eastAsia" w:cs="宋体"/>
                <w:sz w:val="18"/>
                <w:szCs w:val="18"/>
              </w:rPr>
              <w:t xml:space="preserve">水位降深：    </w:t>
            </w:r>
            <w:r>
              <w:rPr>
                <w:sz w:val="18"/>
                <w:szCs w:val="18"/>
              </w:rPr>
              <w:t>m</w:t>
            </w:r>
            <w:r>
              <w:rPr>
                <w:rFonts w:hint="eastAsia"/>
                <w:sz w:val="18"/>
                <w:szCs w:val="18"/>
              </w:rPr>
              <w:t>；</w:t>
            </w:r>
          </w:p>
          <w:p w14:paraId="6E0A10A5">
            <w:pPr>
              <w:spacing w:line="240" w:lineRule="auto"/>
              <w:rPr>
                <w:sz w:val="18"/>
                <w:szCs w:val="18"/>
              </w:rPr>
            </w:pPr>
            <w:r>
              <w:rPr>
                <w:rFonts w:hint="eastAsia" w:cs="宋体"/>
                <w:sz w:val="18"/>
                <w:szCs w:val="18"/>
              </w:rPr>
              <w:t xml:space="preserve">日出水量：      </w:t>
            </w:r>
            <w:r>
              <w:rPr>
                <w:rFonts w:hint="eastAsia"/>
                <w:sz w:val="18"/>
                <w:szCs w:val="18"/>
              </w:rPr>
              <w:t>m</w:t>
            </w:r>
            <w:r>
              <w:rPr>
                <w:rFonts w:hint="eastAsia"/>
                <w:sz w:val="18"/>
                <w:szCs w:val="18"/>
                <w:vertAlign w:val="superscript"/>
              </w:rPr>
              <w:t>3</w:t>
            </w:r>
          </w:p>
          <w:p w14:paraId="132D82F4">
            <w:pPr>
              <w:spacing w:line="240" w:lineRule="auto"/>
              <w:rPr>
                <w:sz w:val="18"/>
                <w:szCs w:val="18"/>
              </w:rPr>
            </w:pPr>
            <w:r>
              <w:rPr>
                <w:rFonts w:hint="eastAsia" w:cs="宋体"/>
                <w:sz w:val="18"/>
                <w:szCs w:val="18"/>
              </w:rPr>
              <w:t>与裂缝区的位置关系：</w:t>
            </w:r>
          </w:p>
          <w:p w14:paraId="54058B9A">
            <w:pPr>
              <w:spacing w:line="240" w:lineRule="auto"/>
              <w:rPr>
                <w:sz w:val="18"/>
                <w:szCs w:val="18"/>
              </w:rPr>
            </w:pPr>
            <w:r>
              <w:rPr>
                <w:rFonts w:hint="eastAsia" w:cs="宋体"/>
                <w:sz w:val="18"/>
                <w:szCs w:val="18"/>
              </w:rPr>
              <w:t>抽排水时间：</w:t>
            </w:r>
          </w:p>
          <w:p w14:paraId="73C97F4A">
            <w:pPr>
              <w:spacing w:line="240" w:lineRule="auto"/>
              <w:rPr>
                <w:rFonts w:ascii="宋体" w:hAnsi="宋体" w:cs="宋体"/>
                <w:sz w:val="18"/>
                <w:szCs w:val="18"/>
              </w:rPr>
            </w:pPr>
            <w:r>
              <w:rPr>
                <w:rFonts w:hint="eastAsia" w:ascii="宋体" w:hAnsi="宋体" w:cs="宋体"/>
                <w:sz w:val="18"/>
                <w:szCs w:val="18"/>
              </w:rPr>
              <w:t>□始于      年   月   日</w:t>
            </w:r>
          </w:p>
          <w:p w14:paraId="14252CC0">
            <w:pPr>
              <w:spacing w:line="240" w:lineRule="auto"/>
              <w:rPr>
                <w:rFonts w:ascii="宋体" w:hAnsi="宋体" w:cs="宋体"/>
                <w:sz w:val="18"/>
                <w:szCs w:val="18"/>
              </w:rPr>
            </w:pPr>
            <w:r>
              <w:rPr>
                <w:rFonts w:hint="eastAsia" w:ascii="宋体" w:hAnsi="宋体" w:cs="宋体"/>
                <w:sz w:val="18"/>
                <w:szCs w:val="18"/>
              </w:rPr>
              <w:t>□止于      年   月   日</w:t>
            </w:r>
          </w:p>
          <w:p w14:paraId="713286C2">
            <w:pPr>
              <w:spacing w:line="240" w:lineRule="auto"/>
              <w:rPr>
                <w:sz w:val="18"/>
                <w:szCs w:val="18"/>
              </w:rPr>
            </w:pPr>
            <w:r>
              <w:rPr>
                <w:rFonts w:hint="eastAsia" w:ascii="宋体" w:hAnsi="宋体" w:cs="宋体"/>
                <w:sz w:val="18"/>
                <w:szCs w:val="18"/>
              </w:rPr>
              <w:t>□仍然继续</w:t>
            </w:r>
          </w:p>
        </w:tc>
        <w:tc>
          <w:tcPr>
            <w:tcW w:w="3046" w:type="dxa"/>
            <w:gridSpan w:val="4"/>
            <w:tcBorders>
              <w:top w:val="single" w:color="auto" w:sz="4" w:space="0"/>
              <w:left w:val="single" w:color="auto" w:sz="4" w:space="0"/>
              <w:bottom w:val="single" w:color="auto" w:sz="4" w:space="0"/>
              <w:right w:val="single" w:color="auto" w:sz="4" w:space="0"/>
            </w:tcBorders>
            <w:vAlign w:val="center"/>
          </w:tcPr>
          <w:p w14:paraId="3A68A57B">
            <w:pPr>
              <w:spacing w:line="240" w:lineRule="auto"/>
              <w:rPr>
                <w:rFonts w:ascii="宋体" w:hAnsi="宋体" w:cs="宋体"/>
                <w:sz w:val="18"/>
                <w:szCs w:val="18"/>
              </w:rPr>
            </w:pPr>
            <w:r>
              <w:rPr>
                <w:rFonts w:hint="eastAsia" w:ascii="宋体" w:hAnsi="宋体" w:cs="宋体"/>
                <w:sz w:val="18"/>
                <w:szCs w:val="18"/>
              </w:rPr>
              <w:t>□井、孔</w:t>
            </w:r>
          </w:p>
          <w:p w14:paraId="5BA133D4">
            <w:pPr>
              <w:spacing w:line="240" w:lineRule="auto"/>
              <w:rPr>
                <w:rFonts w:ascii="宋体" w:hAnsi="宋体" w:cs="宋体"/>
                <w:sz w:val="18"/>
                <w:szCs w:val="18"/>
              </w:rPr>
            </w:pPr>
            <w:r>
              <w:rPr>
                <w:rFonts w:hint="eastAsia" w:ascii="宋体" w:hAnsi="宋体" w:cs="宋体"/>
                <w:sz w:val="18"/>
                <w:szCs w:val="18"/>
              </w:rPr>
              <w:t xml:space="preserve">井深：    </w:t>
            </w:r>
            <w:r>
              <w:rPr>
                <w:sz w:val="18"/>
                <w:szCs w:val="18"/>
              </w:rPr>
              <w:t>m</w:t>
            </w:r>
          </w:p>
          <w:p w14:paraId="524E252E">
            <w:pPr>
              <w:spacing w:line="240" w:lineRule="auto"/>
              <w:rPr>
                <w:sz w:val="18"/>
                <w:szCs w:val="18"/>
              </w:rPr>
            </w:pPr>
            <w:r>
              <w:rPr>
                <w:rFonts w:hint="eastAsia" w:cs="宋体"/>
                <w:sz w:val="18"/>
                <w:szCs w:val="18"/>
              </w:rPr>
              <w:t>开采层深度：    m</w:t>
            </w:r>
          </w:p>
          <w:p w14:paraId="1AF53566">
            <w:pPr>
              <w:spacing w:line="240" w:lineRule="auto"/>
              <w:rPr>
                <w:sz w:val="18"/>
                <w:szCs w:val="18"/>
              </w:rPr>
            </w:pPr>
            <w:r>
              <w:rPr>
                <w:rFonts w:hint="eastAsia" w:cs="宋体"/>
                <w:sz w:val="18"/>
                <w:szCs w:val="18"/>
              </w:rPr>
              <w:t>降深：     m</w:t>
            </w:r>
            <w:r>
              <w:rPr>
                <w:rFonts w:hint="eastAsia"/>
                <w:sz w:val="18"/>
                <w:szCs w:val="18"/>
              </w:rPr>
              <w:t>；</w:t>
            </w:r>
            <w:r>
              <w:rPr>
                <w:rFonts w:hint="eastAsia" w:cs="宋体"/>
                <w:sz w:val="18"/>
                <w:szCs w:val="18"/>
              </w:rPr>
              <w:t xml:space="preserve">开采量：       </w:t>
            </w:r>
            <w:r>
              <w:rPr>
                <w:rFonts w:hint="eastAsia"/>
                <w:sz w:val="18"/>
                <w:szCs w:val="18"/>
              </w:rPr>
              <w:t>m</w:t>
            </w:r>
            <w:r>
              <w:rPr>
                <w:rFonts w:hint="eastAsia"/>
                <w:sz w:val="18"/>
                <w:szCs w:val="18"/>
                <w:vertAlign w:val="superscript"/>
              </w:rPr>
              <w:t>3</w:t>
            </w:r>
          </w:p>
          <w:p w14:paraId="4C0E3BCF">
            <w:pPr>
              <w:spacing w:line="240" w:lineRule="auto"/>
              <w:rPr>
                <w:sz w:val="18"/>
                <w:szCs w:val="18"/>
              </w:rPr>
            </w:pPr>
            <w:r>
              <w:rPr>
                <w:rFonts w:hint="eastAsia" w:cs="宋体"/>
                <w:sz w:val="18"/>
                <w:szCs w:val="18"/>
              </w:rPr>
              <w:t>与裂缝区的位置关系：</w:t>
            </w:r>
          </w:p>
          <w:p w14:paraId="59193F0D">
            <w:pPr>
              <w:spacing w:line="240" w:lineRule="auto"/>
              <w:rPr>
                <w:sz w:val="18"/>
                <w:szCs w:val="18"/>
              </w:rPr>
            </w:pPr>
            <w:r>
              <w:rPr>
                <w:rFonts w:hint="eastAsia" w:cs="宋体"/>
                <w:sz w:val="18"/>
                <w:szCs w:val="18"/>
              </w:rPr>
              <w:t>开采时间：</w:t>
            </w:r>
          </w:p>
          <w:p w14:paraId="3894C12C">
            <w:pPr>
              <w:spacing w:line="240" w:lineRule="auto"/>
              <w:rPr>
                <w:rFonts w:ascii="宋体" w:hAnsi="宋体" w:cs="宋体"/>
                <w:sz w:val="18"/>
                <w:szCs w:val="18"/>
              </w:rPr>
            </w:pPr>
            <w:r>
              <w:rPr>
                <w:rFonts w:hint="eastAsia" w:ascii="宋体" w:hAnsi="宋体" w:cs="宋体"/>
                <w:sz w:val="18"/>
                <w:szCs w:val="18"/>
              </w:rPr>
              <w:t>□始于        年   月   日</w:t>
            </w:r>
          </w:p>
          <w:p w14:paraId="3DC37A98">
            <w:pPr>
              <w:spacing w:line="240" w:lineRule="auto"/>
              <w:rPr>
                <w:rFonts w:ascii="宋体" w:hAnsi="宋体" w:cs="宋体"/>
                <w:sz w:val="18"/>
                <w:szCs w:val="18"/>
              </w:rPr>
            </w:pPr>
            <w:r>
              <w:rPr>
                <w:rFonts w:hint="eastAsia" w:ascii="宋体" w:hAnsi="宋体" w:cs="宋体"/>
                <w:sz w:val="18"/>
                <w:szCs w:val="18"/>
              </w:rPr>
              <w:t>□止于        年   月   日</w:t>
            </w:r>
          </w:p>
          <w:p w14:paraId="0F42E93F">
            <w:pPr>
              <w:spacing w:line="240" w:lineRule="auto"/>
              <w:rPr>
                <w:sz w:val="18"/>
                <w:szCs w:val="18"/>
              </w:rPr>
            </w:pPr>
            <w:r>
              <w:rPr>
                <w:rFonts w:hint="eastAsia" w:ascii="宋体" w:hAnsi="宋体" w:cs="宋体"/>
                <w:sz w:val="18"/>
                <w:szCs w:val="18"/>
              </w:rPr>
              <w:t>□仍然继续</w:t>
            </w:r>
          </w:p>
        </w:tc>
        <w:tc>
          <w:tcPr>
            <w:tcW w:w="2950" w:type="dxa"/>
            <w:gridSpan w:val="2"/>
            <w:tcBorders>
              <w:top w:val="single" w:color="auto" w:sz="4" w:space="0"/>
              <w:left w:val="single" w:color="auto" w:sz="4" w:space="0"/>
              <w:bottom w:val="single" w:color="auto" w:sz="4" w:space="0"/>
              <w:right w:val="single" w:color="auto" w:sz="4" w:space="0"/>
            </w:tcBorders>
            <w:vAlign w:val="center"/>
          </w:tcPr>
          <w:p w14:paraId="14FAC911">
            <w:pPr>
              <w:spacing w:line="240" w:lineRule="auto"/>
              <w:rPr>
                <w:rFonts w:ascii="宋体" w:hAnsi="宋体" w:cs="宋体"/>
                <w:sz w:val="18"/>
                <w:szCs w:val="18"/>
              </w:rPr>
            </w:pPr>
            <w:r>
              <w:rPr>
                <w:rFonts w:hint="eastAsia" w:ascii="宋体" w:hAnsi="宋体" w:cs="宋体"/>
                <w:sz w:val="18"/>
                <w:szCs w:val="18"/>
              </w:rPr>
              <w:t>□断层活动  □构造节理</w:t>
            </w:r>
          </w:p>
          <w:p w14:paraId="740046F9">
            <w:pPr>
              <w:spacing w:line="240" w:lineRule="auto"/>
              <w:rPr>
                <w:rFonts w:ascii="宋体" w:hAnsi="宋体" w:cs="宋体"/>
                <w:sz w:val="18"/>
                <w:szCs w:val="18"/>
              </w:rPr>
            </w:pPr>
            <w:r>
              <w:rPr>
                <w:rFonts w:hint="eastAsia" w:ascii="宋体" w:hAnsi="宋体" w:cs="宋体"/>
                <w:sz w:val="18"/>
                <w:szCs w:val="18"/>
              </w:rPr>
              <w:t>活动断层（节理）的位置：</w:t>
            </w:r>
          </w:p>
          <w:p w14:paraId="49AFA855">
            <w:pPr>
              <w:spacing w:line="240" w:lineRule="auto"/>
              <w:rPr>
                <w:rFonts w:ascii="宋体" w:hAnsi="宋体" w:cs="宋体"/>
                <w:sz w:val="18"/>
                <w:szCs w:val="18"/>
              </w:rPr>
            </w:pPr>
            <w:r>
              <w:rPr>
                <w:rFonts w:hint="eastAsia" w:ascii="宋体" w:hAnsi="宋体" w:cs="宋体"/>
                <w:sz w:val="18"/>
                <w:szCs w:val="18"/>
              </w:rPr>
              <w:t xml:space="preserve">产状：     </w:t>
            </w:r>
          </w:p>
          <w:p w14:paraId="72D991AD">
            <w:pPr>
              <w:spacing w:line="240" w:lineRule="auto"/>
              <w:rPr>
                <w:rFonts w:ascii="宋体" w:hAnsi="宋体" w:cs="宋体"/>
                <w:sz w:val="18"/>
                <w:szCs w:val="18"/>
              </w:rPr>
            </w:pPr>
            <w:r>
              <w:rPr>
                <w:rFonts w:hint="eastAsia" w:ascii="宋体" w:hAnsi="宋体" w:cs="宋体"/>
                <w:sz w:val="18"/>
                <w:szCs w:val="18"/>
              </w:rPr>
              <w:t>长度：   m</w:t>
            </w:r>
          </w:p>
          <w:p w14:paraId="1FB6A105">
            <w:pPr>
              <w:spacing w:line="240" w:lineRule="auto"/>
              <w:rPr>
                <w:rFonts w:ascii="宋体" w:hAnsi="宋体" w:cs="宋体"/>
                <w:sz w:val="18"/>
                <w:szCs w:val="18"/>
              </w:rPr>
            </w:pPr>
            <w:r>
              <w:rPr>
                <w:rFonts w:hint="eastAsia" w:ascii="宋体" w:hAnsi="宋体" w:cs="宋体"/>
                <w:sz w:val="18"/>
                <w:szCs w:val="18"/>
              </w:rPr>
              <w:t>性质：</w:t>
            </w:r>
          </w:p>
          <w:p w14:paraId="3C4C0A5E">
            <w:pPr>
              <w:spacing w:line="240" w:lineRule="auto"/>
              <w:rPr>
                <w:rFonts w:ascii="宋体" w:hAnsi="宋体" w:cs="宋体"/>
                <w:sz w:val="18"/>
                <w:szCs w:val="18"/>
              </w:rPr>
            </w:pPr>
            <w:r>
              <w:rPr>
                <w:rFonts w:hint="eastAsia" w:ascii="宋体" w:hAnsi="宋体" w:cs="宋体"/>
                <w:sz w:val="18"/>
                <w:szCs w:val="18"/>
              </w:rPr>
              <w:t>活动时间：</w:t>
            </w:r>
          </w:p>
          <w:p w14:paraId="4C3691EA">
            <w:pPr>
              <w:spacing w:line="240" w:lineRule="auto"/>
              <w:rPr>
                <w:rFonts w:ascii="宋体" w:hAnsi="宋体" w:cs="宋体"/>
                <w:sz w:val="18"/>
                <w:szCs w:val="18"/>
              </w:rPr>
            </w:pPr>
            <w:r>
              <w:rPr>
                <w:rFonts w:hint="eastAsia" w:ascii="宋体" w:hAnsi="宋体" w:cs="宋体"/>
                <w:sz w:val="18"/>
                <w:szCs w:val="18"/>
              </w:rPr>
              <w:t>活动速率：</w:t>
            </w:r>
          </w:p>
          <w:p w14:paraId="648888B6">
            <w:pPr>
              <w:spacing w:line="240" w:lineRule="auto"/>
              <w:rPr>
                <w:rFonts w:ascii="宋体" w:hAnsi="宋体" w:cs="宋体"/>
                <w:sz w:val="18"/>
                <w:szCs w:val="18"/>
              </w:rPr>
            </w:pPr>
            <w:r>
              <w:rPr>
                <w:rFonts w:hint="eastAsia" w:ascii="宋体" w:hAnsi="宋体" w:cs="宋体"/>
                <w:sz w:val="18"/>
                <w:szCs w:val="18"/>
              </w:rPr>
              <w:t>断距：</w:t>
            </w:r>
          </w:p>
          <w:p w14:paraId="64F18BA0">
            <w:pPr>
              <w:spacing w:line="240" w:lineRule="auto"/>
              <w:rPr>
                <w:sz w:val="18"/>
                <w:szCs w:val="18"/>
              </w:rPr>
            </w:pPr>
          </w:p>
        </w:tc>
        <w:tc>
          <w:tcPr>
            <w:tcW w:w="2688" w:type="dxa"/>
            <w:gridSpan w:val="2"/>
            <w:tcBorders>
              <w:top w:val="single" w:color="auto" w:sz="4" w:space="0"/>
              <w:left w:val="single" w:color="auto" w:sz="4" w:space="0"/>
              <w:bottom w:val="single" w:color="auto" w:sz="4" w:space="0"/>
              <w:right w:val="single" w:color="auto" w:sz="4" w:space="0"/>
            </w:tcBorders>
            <w:vAlign w:val="center"/>
          </w:tcPr>
          <w:p w14:paraId="21866D57">
            <w:pPr>
              <w:spacing w:line="240" w:lineRule="auto"/>
              <w:rPr>
                <w:rFonts w:ascii="宋体" w:hAnsi="宋体" w:cs="宋体"/>
                <w:sz w:val="18"/>
                <w:szCs w:val="18"/>
              </w:rPr>
            </w:pPr>
            <w:r>
              <w:rPr>
                <w:rFonts w:hint="eastAsia" w:ascii="宋体" w:hAnsi="宋体" w:cs="宋体"/>
                <w:sz w:val="18"/>
                <w:szCs w:val="18"/>
              </w:rPr>
              <w:t>□降雨      □水库水</w:t>
            </w:r>
          </w:p>
          <w:p w14:paraId="3D1D71E1">
            <w:pPr>
              <w:spacing w:line="240" w:lineRule="auto"/>
              <w:rPr>
                <w:rFonts w:ascii="宋体" w:hAnsi="宋体" w:cs="宋体"/>
                <w:sz w:val="18"/>
                <w:szCs w:val="18"/>
              </w:rPr>
            </w:pPr>
            <w:r>
              <w:rPr>
                <w:rFonts w:hint="eastAsia" w:ascii="宋体" w:hAnsi="宋体" w:cs="宋体"/>
                <w:sz w:val="18"/>
                <w:szCs w:val="18"/>
              </w:rPr>
              <w:t>□地表水    □地下水</w:t>
            </w:r>
          </w:p>
          <w:p w14:paraId="2DA6A553">
            <w:pPr>
              <w:spacing w:line="240" w:lineRule="auto"/>
              <w:rPr>
                <w:rFonts w:ascii="宋体" w:hAnsi="宋体" w:cs="宋体"/>
                <w:sz w:val="18"/>
                <w:szCs w:val="18"/>
              </w:rPr>
            </w:pPr>
            <w:r>
              <w:rPr>
                <w:rFonts w:hint="eastAsia" w:ascii="宋体" w:hAnsi="宋体" w:cs="宋体"/>
                <w:sz w:val="18"/>
                <w:szCs w:val="18"/>
              </w:rPr>
              <w:t>作用时间：</w:t>
            </w:r>
          </w:p>
          <w:p w14:paraId="6D2119CC">
            <w:pPr>
              <w:spacing w:line="240" w:lineRule="auto"/>
              <w:rPr>
                <w:rFonts w:ascii="宋体" w:hAnsi="宋体" w:cs="宋体"/>
                <w:sz w:val="18"/>
                <w:szCs w:val="18"/>
              </w:rPr>
            </w:pPr>
          </w:p>
          <w:p w14:paraId="29E78D3D">
            <w:pPr>
              <w:spacing w:line="240" w:lineRule="auto"/>
              <w:rPr>
                <w:sz w:val="18"/>
                <w:szCs w:val="18"/>
              </w:rPr>
            </w:pPr>
            <w:r>
              <w:rPr>
                <w:rFonts w:hint="eastAsia" w:ascii="宋体" w:hAnsi="宋体" w:cs="宋体"/>
                <w:sz w:val="18"/>
                <w:szCs w:val="18"/>
              </w:rPr>
              <w:t>□其它作用引起的干湿变化</w:t>
            </w:r>
          </w:p>
        </w:tc>
      </w:tr>
      <w:tr w14:paraId="20246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269" w:type="dxa"/>
            <w:vMerge w:val="restart"/>
            <w:tcBorders>
              <w:top w:val="single" w:color="auto" w:sz="4" w:space="0"/>
              <w:left w:val="single" w:color="auto" w:sz="4" w:space="0"/>
              <w:bottom w:val="single" w:color="auto" w:sz="4" w:space="0"/>
              <w:right w:val="single" w:color="auto" w:sz="4" w:space="0"/>
            </w:tcBorders>
            <w:vAlign w:val="center"/>
          </w:tcPr>
          <w:p w14:paraId="4037E89B">
            <w:pPr>
              <w:spacing w:line="240" w:lineRule="auto"/>
              <w:jc w:val="center"/>
              <w:rPr>
                <w:sz w:val="18"/>
                <w:szCs w:val="18"/>
              </w:rPr>
            </w:pPr>
            <w:r>
              <w:rPr>
                <w:rFonts w:hint="eastAsia" w:cs="宋体"/>
                <w:sz w:val="18"/>
                <w:szCs w:val="18"/>
              </w:rPr>
              <w:t>灾害</w:t>
            </w:r>
          </w:p>
          <w:p w14:paraId="3BE3637E">
            <w:pPr>
              <w:spacing w:line="240" w:lineRule="auto"/>
              <w:jc w:val="center"/>
              <w:rPr>
                <w:sz w:val="18"/>
                <w:szCs w:val="18"/>
              </w:rPr>
            </w:pPr>
            <w:r>
              <w:rPr>
                <w:rFonts w:hint="eastAsia" w:cs="宋体"/>
                <w:sz w:val="18"/>
                <w:szCs w:val="18"/>
              </w:rPr>
              <w:t>情况</w:t>
            </w:r>
          </w:p>
        </w:tc>
        <w:tc>
          <w:tcPr>
            <w:tcW w:w="5548" w:type="dxa"/>
            <w:gridSpan w:val="3"/>
            <w:tcBorders>
              <w:top w:val="single" w:color="auto" w:sz="4" w:space="0"/>
              <w:left w:val="single" w:color="auto" w:sz="4" w:space="0"/>
              <w:bottom w:val="single" w:color="auto" w:sz="4" w:space="0"/>
              <w:right w:val="single" w:color="auto" w:sz="4" w:space="0"/>
            </w:tcBorders>
            <w:vAlign w:val="center"/>
          </w:tcPr>
          <w:p w14:paraId="1D6CA2CE">
            <w:pPr>
              <w:spacing w:line="240" w:lineRule="auto"/>
              <w:jc w:val="center"/>
              <w:rPr>
                <w:sz w:val="18"/>
                <w:szCs w:val="18"/>
              </w:rPr>
            </w:pPr>
            <w:r>
              <w:rPr>
                <w:rFonts w:hint="eastAsia" w:cs="宋体"/>
                <w:sz w:val="18"/>
                <w:szCs w:val="18"/>
              </w:rPr>
              <w:t>已有灾害损失</w:t>
            </w:r>
          </w:p>
        </w:tc>
        <w:tc>
          <w:tcPr>
            <w:tcW w:w="8095" w:type="dxa"/>
            <w:gridSpan w:val="7"/>
            <w:tcBorders>
              <w:top w:val="single" w:color="auto" w:sz="4" w:space="0"/>
              <w:left w:val="single" w:color="auto" w:sz="4" w:space="0"/>
              <w:bottom w:val="single" w:color="auto" w:sz="4" w:space="0"/>
              <w:right w:val="single" w:color="auto" w:sz="4" w:space="0"/>
            </w:tcBorders>
            <w:vAlign w:val="center"/>
          </w:tcPr>
          <w:p w14:paraId="6BAE7DFE">
            <w:pPr>
              <w:spacing w:line="240" w:lineRule="auto"/>
              <w:jc w:val="center"/>
              <w:rPr>
                <w:sz w:val="18"/>
                <w:szCs w:val="18"/>
              </w:rPr>
            </w:pPr>
            <w:r>
              <w:rPr>
                <w:rFonts w:hint="eastAsia" w:cs="宋体"/>
                <w:sz w:val="18"/>
                <w:szCs w:val="18"/>
              </w:rPr>
              <w:t>潜在灾害预测</w:t>
            </w:r>
          </w:p>
        </w:tc>
      </w:tr>
      <w:tr w14:paraId="71CF6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77" w:hRule="atLeast"/>
          <w:jc w:val="center"/>
        </w:trPr>
        <w:tc>
          <w:tcPr>
            <w:tcW w:w="269" w:type="dxa"/>
            <w:vMerge w:val="continue"/>
            <w:tcBorders>
              <w:top w:val="single" w:color="auto" w:sz="4" w:space="0"/>
              <w:left w:val="single" w:color="auto" w:sz="4" w:space="0"/>
              <w:bottom w:val="single" w:color="auto" w:sz="4" w:space="0"/>
              <w:right w:val="single" w:color="auto" w:sz="4" w:space="0"/>
            </w:tcBorders>
            <w:vAlign w:val="center"/>
          </w:tcPr>
          <w:p w14:paraId="30584609">
            <w:pPr>
              <w:spacing w:line="240" w:lineRule="auto"/>
              <w:rPr>
                <w:sz w:val="20"/>
              </w:rPr>
            </w:pPr>
          </w:p>
        </w:tc>
        <w:tc>
          <w:tcPr>
            <w:tcW w:w="5548" w:type="dxa"/>
            <w:gridSpan w:val="3"/>
            <w:vMerge w:val="restart"/>
            <w:tcBorders>
              <w:top w:val="single" w:color="auto" w:sz="4" w:space="0"/>
              <w:left w:val="single" w:color="auto" w:sz="4" w:space="0"/>
              <w:right w:val="single" w:color="auto" w:sz="4" w:space="0"/>
            </w:tcBorders>
            <w:vAlign w:val="center"/>
          </w:tcPr>
          <w:p w14:paraId="458388C2">
            <w:pPr>
              <w:spacing w:line="240" w:lineRule="auto"/>
              <w:rPr>
                <w:sz w:val="18"/>
                <w:szCs w:val="18"/>
              </w:rPr>
            </w:pPr>
            <w:r>
              <w:rPr>
                <w:rFonts w:hint="eastAsia" w:cs="宋体"/>
                <w:sz w:val="18"/>
                <w:szCs w:val="18"/>
              </w:rPr>
              <w:t>毁房    间；阻断交通    处，     小时；伤（亡）人员    人</w:t>
            </w:r>
          </w:p>
        </w:tc>
        <w:tc>
          <w:tcPr>
            <w:tcW w:w="4457" w:type="dxa"/>
            <w:gridSpan w:val="4"/>
            <w:tcBorders>
              <w:top w:val="single" w:color="auto" w:sz="4" w:space="0"/>
              <w:left w:val="single" w:color="auto" w:sz="4" w:space="0"/>
              <w:right w:val="single" w:color="auto" w:sz="4" w:space="0"/>
            </w:tcBorders>
            <w:vAlign w:val="center"/>
          </w:tcPr>
          <w:p w14:paraId="62224ADF">
            <w:pPr>
              <w:spacing w:line="240" w:lineRule="auto"/>
              <w:jc w:val="center"/>
              <w:rPr>
                <w:sz w:val="18"/>
                <w:szCs w:val="18"/>
              </w:rPr>
            </w:pPr>
            <w:r>
              <w:rPr>
                <w:rFonts w:hint="eastAsia" w:cs="宋体"/>
                <w:sz w:val="18"/>
                <w:szCs w:val="18"/>
              </w:rPr>
              <w:t>裂缝发展预测</w:t>
            </w:r>
          </w:p>
        </w:tc>
        <w:tc>
          <w:tcPr>
            <w:tcW w:w="3638" w:type="dxa"/>
            <w:gridSpan w:val="3"/>
            <w:tcBorders>
              <w:top w:val="single" w:color="auto" w:sz="4" w:space="0"/>
              <w:left w:val="single" w:color="auto" w:sz="4" w:space="0"/>
              <w:bottom w:val="single" w:color="auto" w:sz="4" w:space="0"/>
              <w:right w:val="single" w:color="auto" w:sz="4" w:space="0"/>
            </w:tcBorders>
            <w:vAlign w:val="center"/>
          </w:tcPr>
          <w:p w14:paraId="589F4964">
            <w:pPr>
              <w:spacing w:line="240" w:lineRule="auto"/>
              <w:jc w:val="center"/>
              <w:rPr>
                <w:sz w:val="18"/>
                <w:szCs w:val="18"/>
              </w:rPr>
            </w:pPr>
            <w:r>
              <w:rPr>
                <w:rFonts w:hint="eastAsia" w:cs="宋体"/>
                <w:sz w:val="18"/>
                <w:szCs w:val="18"/>
              </w:rPr>
              <w:t>潜在损失预测</w:t>
            </w:r>
          </w:p>
        </w:tc>
      </w:tr>
      <w:tr w14:paraId="35279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269" w:type="dxa"/>
            <w:vMerge w:val="continue"/>
            <w:tcBorders>
              <w:top w:val="single" w:color="auto" w:sz="4" w:space="0"/>
              <w:left w:val="single" w:color="auto" w:sz="4" w:space="0"/>
              <w:bottom w:val="single" w:color="auto" w:sz="4" w:space="0"/>
              <w:right w:val="single" w:color="auto" w:sz="4" w:space="0"/>
            </w:tcBorders>
            <w:vAlign w:val="center"/>
          </w:tcPr>
          <w:p w14:paraId="3DEBAFA2">
            <w:pPr>
              <w:spacing w:line="240" w:lineRule="auto"/>
              <w:rPr>
                <w:sz w:val="20"/>
              </w:rPr>
            </w:pPr>
          </w:p>
        </w:tc>
        <w:tc>
          <w:tcPr>
            <w:tcW w:w="5548" w:type="dxa"/>
            <w:gridSpan w:val="3"/>
            <w:vMerge w:val="continue"/>
            <w:tcBorders>
              <w:left w:val="single" w:color="auto" w:sz="4" w:space="0"/>
              <w:bottom w:val="single" w:color="auto" w:sz="4" w:space="0"/>
              <w:right w:val="single" w:color="auto" w:sz="4" w:space="0"/>
            </w:tcBorders>
            <w:vAlign w:val="center"/>
          </w:tcPr>
          <w:p w14:paraId="15BDBB7C">
            <w:pPr>
              <w:spacing w:line="240" w:lineRule="auto"/>
              <w:rPr>
                <w:rFonts w:cs="宋体"/>
                <w:sz w:val="18"/>
                <w:szCs w:val="18"/>
              </w:rPr>
            </w:pPr>
          </w:p>
        </w:tc>
        <w:tc>
          <w:tcPr>
            <w:tcW w:w="4457" w:type="dxa"/>
            <w:gridSpan w:val="4"/>
            <w:tcBorders>
              <w:left w:val="single" w:color="auto" w:sz="4" w:space="0"/>
              <w:bottom w:val="single" w:color="auto" w:sz="4" w:space="0"/>
              <w:right w:val="single" w:color="auto" w:sz="4" w:space="0"/>
            </w:tcBorders>
            <w:vAlign w:val="center"/>
          </w:tcPr>
          <w:p w14:paraId="2ACE5186">
            <w:pPr>
              <w:spacing w:line="240" w:lineRule="auto"/>
              <w:rPr>
                <w:sz w:val="18"/>
                <w:szCs w:val="18"/>
              </w:rPr>
            </w:pPr>
            <w:r>
              <w:rPr>
                <w:rFonts w:hint="eastAsia" w:ascii="宋体" w:hAnsi="宋体" w:cs="宋体"/>
                <w:sz w:val="18"/>
                <w:szCs w:val="18"/>
              </w:rPr>
              <w:t>□</w:t>
            </w:r>
            <w:r>
              <w:rPr>
                <w:rFonts w:hint="eastAsia" w:cs="宋体"/>
                <w:sz w:val="18"/>
                <w:szCs w:val="18"/>
              </w:rPr>
              <w:t xml:space="preserve">缝数增多     </w:t>
            </w:r>
            <w:r>
              <w:rPr>
                <w:rFonts w:hint="eastAsia" w:ascii="宋体" w:hAnsi="宋体" w:cs="宋体"/>
                <w:sz w:val="18"/>
                <w:szCs w:val="18"/>
              </w:rPr>
              <w:t>□</w:t>
            </w:r>
            <w:r>
              <w:rPr>
                <w:rFonts w:hint="eastAsia" w:cs="宋体"/>
                <w:sz w:val="18"/>
                <w:szCs w:val="18"/>
              </w:rPr>
              <w:t xml:space="preserve">原有裂缝变宽     </w:t>
            </w:r>
            <w:r>
              <w:rPr>
                <w:rFonts w:hint="eastAsia" w:ascii="宋体" w:hAnsi="宋体" w:cs="宋体"/>
                <w:sz w:val="18"/>
                <w:szCs w:val="18"/>
              </w:rPr>
              <w:t>□</w:t>
            </w:r>
            <w:r>
              <w:rPr>
                <w:rFonts w:hint="eastAsia" w:cs="宋体"/>
                <w:sz w:val="18"/>
                <w:szCs w:val="18"/>
              </w:rPr>
              <w:t>活动强度增强</w:t>
            </w:r>
          </w:p>
        </w:tc>
        <w:tc>
          <w:tcPr>
            <w:tcW w:w="3638" w:type="dxa"/>
            <w:gridSpan w:val="3"/>
            <w:tcBorders>
              <w:top w:val="single" w:color="auto" w:sz="4" w:space="0"/>
              <w:left w:val="single" w:color="auto" w:sz="4" w:space="0"/>
              <w:bottom w:val="single" w:color="auto" w:sz="4" w:space="0"/>
              <w:right w:val="single" w:color="auto" w:sz="4" w:space="0"/>
            </w:tcBorders>
            <w:vAlign w:val="center"/>
          </w:tcPr>
          <w:p w14:paraId="481A547A">
            <w:pPr>
              <w:spacing w:line="240" w:lineRule="auto"/>
              <w:rPr>
                <w:sz w:val="18"/>
                <w:szCs w:val="18"/>
              </w:rPr>
            </w:pPr>
            <w:r>
              <w:rPr>
                <w:rFonts w:hint="eastAsia" w:cs="宋体"/>
                <w:sz w:val="18"/>
                <w:szCs w:val="18"/>
              </w:rPr>
              <w:t>毁房    间；阻断交通   处；威胁人员   人</w:t>
            </w:r>
          </w:p>
        </w:tc>
      </w:tr>
      <w:tr w14:paraId="773C7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1" w:hRule="atLeast"/>
          <w:jc w:val="center"/>
        </w:trPr>
        <w:tc>
          <w:tcPr>
            <w:tcW w:w="269" w:type="dxa"/>
            <w:vMerge w:val="restart"/>
            <w:tcBorders>
              <w:top w:val="single" w:color="auto" w:sz="4" w:space="0"/>
              <w:left w:val="single" w:color="auto" w:sz="4" w:space="0"/>
              <w:bottom w:val="single" w:color="auto" w:sz="4" w:space="0"/>
              <w:right w:val="single" w:color="auto" w:sz="4" w:space="0"/>
            </w:tcBorders>
            <w:vAlign w:val="center"/>
          </w:tcPr>
          <w:p w14:paraId="4B77B794">
            <w:pPr>
              <w:spacing w:line="240" w:lineRule="auto"/>
              <w:jc w:val="center"/>
              <w:rPr>
                <w:sz w:val="18"/>
                <w:szCs w:val="18"/>
              </w:rPr>
            </w:pPr>
            <w:r>
              <w:rPr>
                <w:rFonts w:hint="eastAsia" w:cs="宋体"/>
                <w:sz w:val="18"/>
                <w:szCs w:val="18"/>
              </w:rPr>
              <w:t>防治</w:t>
            </w:r>
          </w:p>
          <w:p w14:paraId="4ACA7A23">
            <w:pPr>
              <w:spacing w:line="240" w:lineRule="auto"/>
              <w:jc w:val="center"/>
              <w:rPr>
                <w:sz w:val="18"/>
                <w:szCs w:val="18"/>
              </w:rPr>
            </w:pPr>
            <w:r>
              <w:rPr>
                <w:rFonts w:hint="eastAsia" w:cs="宋体"/>
                <w:sz w:val="18"/>
                <w:szCs w:val="18"/>
              </w:rPr>
              <w:t>情况</w:t>
            </w:r>
          </w:p>
        </w:tc>
        <w:tc>
          <w:tcPr>
            <w:tcW w:w="7274" w:type="dxa"/>
            <w:gridSpan w:val="5"/>
            <w:tcBorders>
              <w:top w:val="single" w:color="auto" w:sz="4" w:space="0"/>
              <w:left w:val="single" w:color="auto" w:sz="4" w:space="0"/>
              <w:bottom w:val="single" w:color="auto" w:sz="4" w:space="0"/>
              <w:right w:val="single" w:color="auto" w:sz="4" w:space="0"/>
            </w:tcBorders>
            <w:vAlign w:val="center"/>
          </w:tcPr>
          <w:p w14:paraId="54BC7498">
            <w:pPr>
              <w:spacing w:line="240" w:lineRule="auto"/>
              <w:jc w:val="center"/>
              <w:rPr>
                <w:sz w:val="18"/>
                <w:szCs w:val="18"/>
              </w:rPr>
            </w:pPr>
            <w:r>
              <w:rPr>
                <w:rFonts w:hint="eastAsia" w:cs="宋体"/>
                <w:sz w:val="18"/>
                <w:szCs w:val="18"/>
              </w:rPr>
              <w:t>已采取的防治措施及效果</w:t>
            </w:r>
          </w:p>
        </w:tc>
        <w:tc>
          <w:tcPr>
            <w:tcW w:w="6369" w:type="dxa"/>
            <w:gridSpan w:val="5"/>
            <w:tcBorders>
              <w:top w:val="single" w:color="auto" w:sz="4" w:space="0"/>
              <w:left w:val="single" w:color="auto" w:sz="4" w:space="0"/>
              <w:bottom w:val="single" w:color="auto" w:sz="4" w:space="0"/>
              <w:right w:val="single" w:color="auto" w:sz="4" w:space="0"/>
            </w:tcBorders>
            <w:vAlign w:val="center"/>
          </w:tcPr>
          <w:p w14:paraId="5CD1C9ED">
            <w:pPr>
              <w:spacing w:line="240" w:lineRule="auto"/>
              <w:jc w:val="center"/>
              <w:rPr>
                <w:sz w:val="18"/>
                <w:szCs w:val="18"/>
              </w:rPr>
            </w:pPr>
            <w:r>
              <w:rPr>
                <w:rFonts w:hint="eastAsia" w:cs="宋体"/>
                <w:sz w:val="18"/>
                <w:szCs w:val="18"/>
              </w:rPr>
              <w:t>今后防治建议</w:t>
            </w:r>
          </w:p>
        </w:tc>
      </w:tr>
      <w:tr w14:paraId="55FC3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269" w:type="dxa"/>
            <w:vMerge w:val="continue"/>
            <w:tcBorders>
              <w:top w:val="single" w:color="auto" w:sz="4" w:space="0"/>
              <w:left w:val="single" w:color="auto" w:sz="4" w:space="0"/>
              <w:bottom w:val="single" w:color="auto" w:sz="4" w:space="0"/>
              <w:right w:val="single" w:color="auto" w:sz="4" w:space="0"/>
            </w:tcBorders>
            <w:vAlign w:val="center"/>
          </w:tcPr>
          <w:p w14:paraId="66163B8B">
            <w:pPr>
              <w:spacing w:line="240" w:lineRule="auto"/>
              <w:rPr>
                <w:sz w:val="20"/>
              </w:rPr>
            </w:pPr>
          </w:p>
        </w:tc>
        <w:tc>
          <w:tcPr>
            <w:tcW w:w="7274" w:type="dxa"/>
            <w:gridSpan w:val="5"/>
            <w:tcBorders>
              <w:top w:val="single" w:color="auto" w:sz="4" w:space="0"/>
              <w:left w:val="single" w:color="auto" w:sz="4" w:space="0"/>
              <w:bottom w:val="single" w:color="auto" w:sz="4" w:space="0"/>
              <w:right w:val="single" w:color="auto" w:sz="4" w:space="0"/>
            </w:tcBorders>
            <w:vAlign w:val="center"/>
          </w:tcPr>
          <w:p w14:paraId="7DF72A38">
            <w:pPr>
              <w:spacing w:line="240" w:lineRule="auto"/>
              <w:rPr>
                <w:sz w:val="18"/>
                <w:szCs w:val="18"/>
              </w:rPr>
            </w:pPr>
          </w:p>
        </w:tc>
        <w:tc>
          <w:tcPr>
            <w:tcW w:w="6369" w:type="dxa"/>
            <w:gridSpan w:val="5"/>
            <w:tcBorders>
              <w:top w:val="single" w:color="auto" w:sz="4" w:space="0"/>
              <w:left w:val="single" w:color="auto" w:sz="4" w:space="0"/>
              <w:bottom w:val="single" w:color="auto" w:sz="4" w:space="0"/>
              <w:right w:val="single" w:color="auto" w:sz="4" w:space="0"/>
            </w:tcBorders>
            <w:vAlign w:val="center"/>
          </w:tcPr>
          <w:p w14:paraId="0E1BA7AC">
            <w:pPr>
              <w:spacing w:line="240" w:lineRule="auto"/>
              <w:rPr>
                <w:sz w:val="18"/>
                <w:szCs w:val="18"/>
              </w:rPr>
            </w:pPr>
          </w:p>
        </w:tc>
      </w:tr>
      <w:tr w14:paraId="00317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1540" w:hRule="atLeast"/>
          <w:jc w:val="center"/>
        </w:trPr>
        <w:tc>
          <w:tcPr>
            <w:tcW w:w="269" w:type="dxa"/>
            <w:tcBorders>
              <w:top w:val="single" w:color="auto" w:sz="4" w:space="0"/>
              <w:left w:val="single" w:color="auto" w:sz="4" w:space="0"/>
              <w:bottom w:val="single" w:color="auto" w:sz="4" w:space="0"/>
              <w:right w:val="single" w:color="auto" w:sz="4" w:space="0"/>
            </w:tcBorders>
            <w:vAlign w:val="center"/>
          </w:tcPr>
          <w:p w14:paraId="4819A0E6">
            <w:pPr>
              <w:spacing w:line="240" w:lineRule="auto"/>
              <w:rPr>
                <w:spacing w:val="-20"/>
                <w:sz w:val="18"/>
                <w:szCs w:val="18"/>
              </w:rPr>
            </w:pPr>
            <w:r>
              <w:rPr>
                <w:rFonts w:hint="eastAsia" w:cs="宋体"/>
                <w:spacing w:val="-20"/>
                <w:sz w:val="18"/>
                <w:szCs w:val="18"/>
              </w:rPr>
              <w:t>现场图像</w:t>
            </w:r>
          </w:p>
        </w:tc>
        <w:tc>
          <w:tcPr>
            <w:tcW w:w="5888" w:type="dxa"/>
            <w:gridSpan w:val="4"/>
            <w:tcBorders>
              <w:top w:val="single" w:color="auto" w:sz="4" w:space="0"/>
              <w:left w:val="single" w:color="auto" w:sz="4" w:space="0"/>
              <w:bottom w:val="single" w:color="auto" w:sz="4" w:space="0"/>
              <w:right w:val="single" w:color="auto" w:sz="4" w:space="0"/>
            </w:tcBorders>
            <w:vAlign w:val="center"/>
          </w:tcPr>
          <w:p w14:paraId="1A3E6329">
            <w:pPr>
              <w:spacing w:line="240" w:lineRule="auto"/>
              <w:rPr>
                <w:sz w:val="18"/>
                <w:szCs w:val="18"/>
              </w:rPr>
            </w:pPr>
            <w:r>
              <w:rPr>
                <w:rFonts w:hint="eastAsia" w:cs="宋体"/>
                <w:sz w:val="18"/>
                <w:szCs w:val="18"/>
              </w:rPr>
              <w:t>平面图：</w:t>
            </w:r>
          </w:p>
        </w:tc>
        <w:tc>
          <w:tcPr>
            <w:tcW w:w="5422" w:type="dxa"/>
            <w:gridSpan w:val="5"/>
            <w:tcBorders>
              <w:top w:val="single" w:color="auto" w:sz="4" w:space="0"/>
              <w:left w:val="single" w:color="auto" w:sz="4" w:space="0"/>
              <w:bottom w:val="single" w:color="auto" w:sz="4" w:space="0"/>
              <w:right w:val="single" w:color="auto" w:sz="4" w:space="0"/>
            </w:tcBorders>
            <w:vAlign w:val="center"/>
          </w:tcPr>
          <w:p w14:paraId="666ED9EF">
            <w:pPr>
              <w:spacing w:line="240" w:lineRule="auto"/>
              <w:rPr>
                <w:sz w:val="18"/>
                <w:szCs w:val="18"/>
              </w:rPr>
            </w:pPr>
            <w:r>
              <w:rPr>
                <w:rFonts w:hint="eastAsia" w:cs="宋体"/>
                <w:sz w:val="18"/>
                <w:szCs w:val="18"/>
              </w:rPr>
              <w:t>剖面图：</w:t>
            </w:r>
          </w:p>
        </w:tc>
        <w:tc>
          <w:tcPr>
            <w:tcW w:w="2333" w:type="dxa"/>
            <w:tcBorders>
              <w:top w:val="single" w:color="auto" w:sz="4" w:space="0"/>
              <w:left w:val="single" w:color="auto" w:sz="4" w:space="0"/>
              <w:bottom w:val="single" w:color="auto" w:sz="4" w:space="0"/>
              <w:right w:val="single" w:color="auto" w:sz="4" w:space="0"/>
            </w:tcBorders>
            <w:vAlign w:val="center"/>
          </w:tcPr>
          <w:p w14:paraId="45AB8EF3">
            <w:pPr>
              <w:spacing w:line="240" w:lineRule="auto"/>
              <w:rPr>
                <w:sz w:val="18"/>
                <w:szCs w:val="18"/>
              </w:rPr>
            </w:pPr>
            <w:r>
              <w:rPr>
                <w:rFonts w:hint="eastAsia" w:cs="宋体"/>
                <w:sz w:val="18"/>
                <w:szCs w:val="18"/>
              </w:rPr>
              <w:t>照片及编号：</w:t>
            </w:r>
          </w:p>
          <w:p w14:paraId="6197D40C">
            <w:pPr>
              <w:spacing w:line="240" w:lineRule="auto"/>
              <w:rPr>
                <w:sz w:val="18"/>
                <w:szCs w:val="18"/>
              </w:rPr>
            </w:pPr>
          </w:p>
          <w:p w14:paraId="18AEAD0C">
            <w:pPr>
              <w:spacing w:line="240" w:lineRule="auto"/>
              <w:rPr>
                <w:rFonts w:cs="宋体"/>
                <w:sz w:val="18"/>
                <w:szCs w:val="18"/>
              </w:rPr>
            </w:pPr>
            <w:r>
              <w:rPr>
                <w:rFonts w:hint="eastAsia" w:cs="宋体"/>
                <w:sz w:val="18"/>
                <w:szCs w:val="18"/>
              </w:rPr>
              <w:t>影像及编号：</w:t>
            </w:r>
          </w:p>
        </w:tc>
      </w:tr>
      <w:tr w14:paraId="3127C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70" w:hRule="atLeast"/>
          <w:jc w:val="center"/>
        </w:trPr>
        <w:tc>
          <w:tcPr>
            <w:tcW w:w="13912" w:type="dxa"/>
            <w:gridSpan w:val="11"/>
            <w:tcBorders>
              <w:top w:val="single" w:color="auto" w:sz="4" w:space="0"/>
              <w:left w:val="single" w:color="auto" w:sz="4" w:space="0"/>
              <w:bottom w:val="single" w:color="auto" w:sz="4" w:space="0"/>
              <w:right w:val="single" w:color="auto" w:sz="4" w:space="0"/>
            </w:tcBorders>
            <w:vAlign w:val="center"/>
          </w:tcPr>
          <w:p w14:paraId="04208DC4">
            <w:pPr>
              <w:pStyle w:val="182"/>
              <w:numPr>
                <w:ilvl w:val="0"/>
                <w:numId w:val="53"/>
              </w:numPr>
            </w:pPr>
            <w:r>
              <w:rPr>
                <w:rFonts w:hint="eastAsia"/>
              </w:rPr>
              <w:t>此表按每一裂缝区填写一张。同一调查点（村、组、矿山等）有多个分离的裂缝区，应分别填写；</w:t>
            </w:r>
          </w:p>
          <w:p w14:paraId="6FEB4E4D">
            <w:pPr>
              <w:pStyle w:val="182"/>
              <w:numPr>
                <w:ilvl w:val="0"/>
                <w:numId w:val="53"/>
              </w:numPr>
            </w:pPr>
            <w:r>
              <w:rPr>
                <w:rFonts w:hint="eastAsia"/>
              </w:rPr>
              <w:t>每一裂缝区填写代表性单缝</w:t>
            </w:r>
            <w:r>
              <w:t>1</w:t>
            </w:r>
            <w:r>
              <w:rPr>
                <w:rFonts w:hint="eastAsia"/>
              </w:rPr>
              <w:t>条~</w:t>
            </w:r>
            <w:r>
              <w:t>3</w:t>
            </w:r>
            <w:r>
              <w:rPr>
                <w:rFonts w:hint="eastAsia"/>
              </w:rPr>
              <w:t>条；有两条以上裂缝者，需填写群缝（组合发育）特征；</w:t>
            </w:r>
          </w:p>
        </w:tc>
      </w:tr>
    </w:tbl>
    <w:p w14:paraId="5F0C45E4">
      <w:pPr>
        <w:pStyle w:val="58"/>
        <w:ind w:firstLine="360"/>
      </w:pPr>
      <w:r>
        <w:rPr>
          <w:rFonts w:ascii="Times New Roman"/>
          <w:sz w:val="18"/>
          <w:szCs w:val="18"/>
        </w:rPr>
        <w:t xml:space="preserve">记    录：            校    核：           项目负责：             填表日期：      年     月     </w:t>
      </w:r>
      <w:r>
        <w:rPr>
          <w:rFonts w:hint="eastAsia" w:ascii="Times New Roman"/>
          <w:sz w:val="18"/>
          <w:szCs w:val="18"/>
        </w:rPr>
        <w:t>日</w:t>
      </w:r>
    </w:p>
    <w:p w14:paraId="60256784">
      <w:pPr>
        <w:pStyle w:val="58"/>
        <w:ind w:firstLine="420"/>
        <w:sectPr>
          <w:headerReference r:id="rId14" w:type="default"/>
          <w:footerReference r:id="rId16" w:type="default"/>
          <w:headerReference r:id="rId15" w:type="even"/>
          <w:footerReference r:id="rId17" w:type="even"/>
          <w:pgSz w:w="16838" w:h="11906" w:orient="landscape"/>
          <w:pgMar w:top="1134" w:right="1871" w:bottom="1134" w:left="1134" w:header="1418" w:footer="1247" w:gutter="284"/>
          <w:cols w:space="425" w:num="1"/>
          <w:formProt w:val="0"/>
          <w:docGrid w:type="lines" w:linePitch="312" w:charSpace="0"/>
        </w:sectPr>
      </w:pPr>
    </w:p>
    <w:p w14:paraId="029FE3E0">
      <w:pPr>
        <w:pStyle w:val="79"/>
        <w:spacing w:before="156" w:after="156"/>
      </w:pPr>
      <w:r>
        <w:rPr>
          <w:rFonts w:hint="eastAsia"/>
        </w:rPr>
        <w:t>承灾体调查记录表</w:t>
      </w:r>
    </w:p>
    <w:tbl>
      <w:tblPr>
        <w:tblStyle w:val="28"/>
        <w:tblW w:w="916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03"/>
        <w:gridCol w:w="526"/>
        <w:gridCol w:w="638"/>
        <w:gridCol w:w="912"/>
        <w:gridCol w:w="373"/>
        <w:gridCol w:w="141"/>
        <w:gridCol w:w="467"/>
        <w:gridCol w:w="667"/>
        <w:gridCol w:w="142"/>
        <w:gridCol w:w="1097"/>
        <w:gridCol w:w="127"/>
        <w:gridCol w:w="94"/>
        <w:gridCol w:w="917"/>
        <w:gridCol w:w="355"/>
        <w:gridCol w:w="47"/>
        <w:gridCol w:w="1455"/>
      </w:tblGrid>
      <w:tr w14:paraId="2D534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0" w:hRule="atLeast"/>
          <w:jc w:val="center"/>
        </w:trPr>
        <w:tc>
          <w:tcPr>
            <w:tcW w:w="1729" w:type="dxa"/>
            <w:gridSpan w:val="2"/>
            <w:vAlign w:val="center"/>
          </w:tcPr>
          <w:p w14:paraId="66B69556">
            <w:pPr>
              <w:widowControl/>
              <w:spacing w:line="240" w:lineRule="auto"/>
              <w:jc w:val="center"/>
              <w:rPr>
                <w:rFonts w:ascii="Times New Roman" w:hAnsi="Times New Roman"/>
                <w:sz w:val="18"/>
                <w:szCs w:val="18"/>
              </w:rPr>
            </w:pPr>
            <w:r>
              <w:rPr>
                <w:rFonts w:hint="eastAsia" w:ascii="Times New Roman" w:hAnsi="Times New Roman"/>
                <w:sz w:val="18"/>
                <w:szCs w:val="18"/>
              </w:rPr>
              <w:t>统一</w:t>
            </w:r>
            <w:r>
              <w:rPr>
                <w:rFonts w:ascii="Times New Roman" w:hAnsi="Times New Roman"/>
                <w:sz w:val="18"/>
                <w:szCs w:val="18"/>
              </w:rPr>
              <w:t>编号</w:t>
            </w:r>
          </w:p>
        </w:tc>
        <w:tc>
          <w:tcPr>
            <w:tcW w:w="1550" w:type="dxa"/>
            <w:gridSpan w:val="2"/>
            <w:vAlign w:val="center"/>
          </w:tcPr>
          <w:p w14:paraId="058BE9EC">
            <w:pPr>
              <w:widowControl/>
              <w:spacing w:line="240" w:lineRule="auto"/>
              <w:jc w:val="center"/>
              <w:rPr>
                <w:rFonts w:ascii="Times New Roman" w:hAnsi="Times New Roman"/>
                <w:sz w:val="18"/>
                <w:szCs w:val="18"/>
              </w:rPr>
            </w:pPr>
            <w:r>
              <w:rPr>
                <w:rFonts w:hint="eastAsia" w:ascii="Times New Roman" w:hAnsi="Times New Roman"/>
                <w:sz w:val="18"/>
                <w:szCs w:val="18"/>
              </w:rPr>
              <w:t>（与对应调查单元统一编号一致）</w:t>
            </w:r>
          </w:p>
        </w:tc>
        <w:tc>
          <w:tcPr>
            <w:tcW w:w="981" w:type="dxa"/>
            <w:gridSpan w:val="3"/>
            <w:vAlign w:val="center"/>
          </w:tcPr>
          <w:p w14:paraId="6399C8DE">
            <w:pPr>
              <w:widowControl/>
              <w:spacing w:line="240" w:lineRule="auto"/>
              <w:jc w:val="center"/>
              <w:rPr>
                <w:rFonts w:ascii="Times New Roman" w:hAnsi="Times New Roman"/>
                <w:sz w:val="18"/>
                <w:szCs w:val="18"/>
              </w:rPr>
            </w:pPr>
            <w:r>
              <w:rPr>
                <w:rFonts w:ascii="Times New Roman" w:hAnsi="Times New Roman"/>
                <w:sz w:val="18"/>
                <w:szCs w:val="18"/>
              </w:rPr>
              <w:t>野外编号</w:t>
            </w:r>
          </w:p>
        </w:tc>
        <w:tc>
          <w:tcPr>
            <w:tcW w:w="1906" w:type="dxa"/>
            <w:gridSpan w:val="3"/>
            <w:vAlign w:val="center"/>
          </w:tcPr>
          <w:p w14:paraId="1DBBC717">
            <w:pPr>
              <w:widowControl/>
              <w:spacing w:line="240" w:lineRule="auto"/>
              <w:jc w:val="center"/>
              <w:rPr>
                <w:rFonts w:ascii="Times New Roman" w:hAnsi="Times New Roman"/>
                <w:sz w:val="18"/>
                <w:szCs w:val="18"/>
              </w:rPr>
            </w:pPr>
            <w:r>
              <w:rPr>
                <w:rFonts w:hint="eastAsia" w:ascii="Times New Roman" w:hAnsi="Times New Roman"/>
                <w:sz w:val="18"/>
                <w:szCs w:val="18"/>
              </w:rPr>
              <w:t>（与对应调查单元</w:t>
            </w:r>
            <w:r>
              <w:rPr>
                <w:rFonts w:ascii="Times New Roman" w:hAnsi="Times New Roman"/>
                <w:sz w:val="18"/>
                <w:szCs w:val="18"/>
              </w:rPr>
              <w:t>野外</w:t>
            </w:r>
            <w:r>
              <w:rPr>
                <w:rFonts w:hint="eastAsia" w:ascii="Times New Roman" w:hAnsi="Times New Roman"/>
                <w:sz w:val="18"/>
                <w:szCs w:val="18"/>
              </w:rPr>
              <w:t>编号一致）</w:t>
            </w:r>
          </w:p>
        </w:tc>
        <w:tc>
          <w:tcPr>
            <w:tcW w:w="1138" w:type="dxa"/>
            <w:gridSpan w:val="3"/>
            <w:vAlign w:val="center"/>
          </w:tcPr>
          <w:p w14:paraId="47D17A0C">
            <w:pPr>
              <w:widowControl/>
              <w:spacing w:line="240" w:lineRule="auto"/>
              <w:jc w:val="center"/>
              <w:rPr>
                <w:rFonts w:ascii="Times New Roman" w:hAnsi="Times New Roman"/>
                <w:sz w:val="18"/>
                <w:szCs w:val="18"/>
              </w:rPr>
            </w:pPr>
            <w:r>
              <w:rPr>
                <w:rFonts w:ascii="Times New Roman" w:hAnsi="Times New Roman"/>
                <w:sz w:val="18"/>
                <w:szCs w:val="18"/>
              </w:rPr>
              <w:t>调查时间</w:t>
            </w:r>
          </w:p>
        </w:tc>
        <w:tc>
          <w:tcPr>
            <w:tcW w:w="1857" w:type="dxa"/>
            <w:gridSpan w:val="3"/>
            <w:vAlign w:val="center"/>
          </w:tcPr>
          <w:p w14:paraId="4A43FD25">
            <w:pPr>
              <w:widowControl/>
              <w:spacing w:line="240" w:lineRule="auto"/>
              <w:jc w:val="center"/>
              <w:rPr>
                <w:rFonts w:ascii="Times New Roman" w:hAnsi="Times New Roman"/>
                <w:sz w:val="18"/>
                <w:szCs w:val="18"/>
              </w:rPr>
            </w:pPr>
            <w:r>
              <w:rPr>
                <w:rFonts w:ascii="Times New Roman" w:hAnsi="Times New Roman"/>
                <w:sz w:val="18"/>
                <w:szCs w:val="18"/>
              </w:rPr>
              <w:t>年       月     日</w:t>
            </w:r>
          </w:p>
        </w:tc>
      </w:tr>
      <w:tr w14:paraId="3805F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2" w:hRule="atLeast"/>
          <w:jc w:val="center"/>
        </w:trPr>
        <w:tc>
          <w:tcPr>
            <w:tcW w:w="1729" w:type="dxa"/>
            <w:gridSpan w:val="2"/>
            <w:vAlign w:val="center"/>
          </w:tcPr>
          <w:p w14:paraId="6EA460B3">
            <w:pPr>
              <w:widowControl/>
              <w:spacing w:line="240" w:lineRule="auto"/>
              <w:jc w:val="center"/>
              <w:rPr>
                <w:rFonts w:ascii="Times New Roman" w:hAnsi="Times New Roman"/>
                <w:sz w:val="18"/>
                <w:szCs w:val="18"/>
              </w:rPr>
            </w:pPr>
            <w:r>
              <w:rPr>
                <w:rFonts w:ascii="Times New Roman" w:hAnsi="Times New Roman"/>
                <w:sz w:val="18"/>
                <w:szCs w:val="18"/>
              </w:rPr>
              <w:t>名称</w:t>
            </w:r>
          </w:p>
        </w:tc>
        <w:tc>
          <w:tcPr>
            <w:tcW w:w="7432" w:type="dxa"/>
            <w:gridSpan w:val="14"/>
            <w:vAlign w:val="center"/>
          </w:tcPr>
          <w:p w14:paraId="331E99FB">
            <w:pPr>
              <w:widowControl/>
              <w:spacing w:line="240" w:lineRule="auto"/>
              <w:jc w:val="center"/>
              <w:rPr>
                <w:rFonts w:ascii="Times New Roman" w:hAnsi="Times New Roman"/>
                <w:sz w:val="18"/>
                <w:szCs w:val="18"/>
              </w:rPr>
            </w:pPr>
            <w:r>
              <w:rPr>
                <w:rFonts w:hint="eastAsia" w:ascii="Times New Roman" w:hAnsi="Times New Roman"/>
                <w:sz w:val="18"/>
                <w:szCs w:val="18"/>
              </w:rPr>
              <w:t>（与对应调查单元名称一致）</w:t>
            </w:r>
          </w:p>
        </w:tc>
      </w:tr>
      <w:tr w14:paraId="103E7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7" w:hRule="atLeast"/>
          <w:jc w:val="center"/>
        </w:trPr>
        <w:tc>
          <w:tcPr>
            <w:tcW w:w="1203" w:type="dxa"/>
            <w:vAlign w:val="center"/>
          </w:tcPr>
          <w:p w14:paraId="589B2FC9">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地点：</w:t>
            </w:r>
          </w:p>
        </w:tc>
        <w:tc>
          <w:tcPr>
            <w:tcW w:w="7958" w:type="dxa"/>
            <w:gridSpan w:val="15"/>
            <w:vAlign w:val="center"/>
          </w:tcPr>
          <w:p w14:paraId="54851333">
            <w:pPr>
              <w:widowControl/>
              <w:tabs>
                <w:tab w:val="left" w:pos="363"/>
              </w:tabs>
              <w:spacing w:line="240" w:lineRule="auto"/>
              <w:rPr>
                <w:rFonts w:ascii="Times New Roman" w:hAnsi="Times New Roman"/>
                <w:sz w:val="18"/>
                <w:szCs w:val="18"/>
              </w:rPr>
            </w:pPr>
            <w:r>
              <w:rPr>
                <w:rFonts w:ascii="Times New Roman" w:hAnsi="Times New Roman"/>
                <w:sz w:val="18"/>
                <w:szCs w:val="18"/>
              </w:rPr>
              <w:t xml:space="preserve">     省     市     县（区）     乡（镇、街道）     村（社区）</w:t>
            </w:r>
          </w:p>
        </w:tc>
      </w:tr>
      <w:tr w14:paraId="7DFE6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3" w:hRule="atLeast"/>
          <w:jc w:val="center"/>
        </w:trPr>
        <w:tc>
          <w:tcPr>
            <w:tcW w:w="1203" w:type="dxa"/>
            <w:vAlign w:val="center"/>
          </w:tcPr>
          <w:p w14:paraId="4824D1E5">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人口</w:t>
            </w:r>
          </w:p>
        </w:tc>
        <w:tc>
          <w:tcPr>
            <w:tcW w:w="1164" w:type="dxa"/>
            <w:gridSpan w:val="2"/>
            <w:vAlign w:val="center"/>
          </w:tcPr>
          <w:p w14:paraId="47950AC5">
            <w:pPr>
              <w:widowControl/>
              <w:spacing w:line="240" w:lineRule="auto"/>
              <w:jc w:val="center"/>
              <w:rPr>
                <w:rFonts w:ascii="Times New Roman" w:hAnsi="Times New Roman"/>
                <w:sz w:val="18"/>
                <w:szCs w:val="18"/>
              </w:rPr>
            </w:pPr>
            <w:r>
              <w:rPr>
                <w:rFonts w:ascii="Times New Roman" w:hAnsi="Times New Roman"/>
                <w:sz w:val="18"/>
                <w:szCs w:val="18"/>
              </w:rPr>
              <w:t>户籍人口</w:t>
            </w:r>
          </w:p>
        </w:tc>
        <w:tc>
          <w:tcPr>
            <w:tcW w:w="1285" w:type="dxa"/>
            <w:gridSpan w:val="2"/>
            <w:vAlign w:val="center"/>
          </w:tcPr>
          <w:p w14:paraId="3BCAF378">
            <w:pPr>
              <w:widowControl/>
              <w:spacing w:line="240" w:lineRule="auto"/>
              <w:jc w:val="center"/>
              <w:rPr>
                <w:rFonts w:ascii="Times New Roman" w:hAnsi="Times New Roman"/>
                <w:sz w:val="18"/>
                <w:szCs w:val="18"/>
              </w:rPr>
            </w:pPr>
            <w:r>
              <w:rPr>
                <w:rFonts w:ascii="Times New Roman" w:hAnsi="Times New Roman"/>
                <w:sz w:val="18"/>
                <w:szCs w:val="18"/>
                <w:u w:val="single"/>
              </w:rPr>
              <w:t xml:space="preserve">   </w:t>
            </w:r>
            <w:r>
              <w:rPr>
                <w:rFonts w:ascii="Times New Roman" w:hAnsi="Times New Roman"/>
                <w:sz w:val="18"/>
                <w:szCs w:val="18"/>
              </w:rPr>
              <w:t>户</w:t>
            </w:r>
            <w:r>
              <w:rPr>
                <w:rFonts w:ascii="Times New Roman" w:hAnsi="Times New Roman"/>
                <w:sz w:val="18"/>
                <w:szCs w:val="18"/>
                <w:u w:val="single"/>
              </w:rPr>
              <w:t xml:space="preserve">   </w:t>
            </w:r>
            <w:r>
              <w:rPr>
                <w:rFonts w:ascii="Times New Roman" w:hAnsi="Times New Roman"/>
                <w:sz w:val="18"/>
                <w:szCs w:val="18"/>
              </w:rPr>
              <w:t>人</w:t>
            </w:r>
          </w:p>
        </w:tc>
        <w:tc>
          <w:tcPr>
            <w:tcW w:w="1275" w:type="dxa"/>
            <w:gridSpan w:val="3"/>
            <w:vAlign w:val="center"/>
          </w:tcPr>
          <w:p w14:paraId="73EB1C81">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常住人口</w:t>
            </w:r>
          </w:p>
        </w:tc>
        <w:tc>
          <w:tcPr>
            <w:tcW w:w="1366" w:type="dxa"/>
            <w:gridSpan w:val="3"/>
            <w:vAlign w:val="center"/>
          </w:tcPr>
          <w:p w14:paraId="1DB17FDF">
            <w:pPr>
              <w:tabs>
                <w:tab w:val="left" w:pos="363"/>
              </w:tabs>
              <w:spacing w:line="240" w:lineRule="auto"/>
              <w:ind w:firstLine="90" w:firstLineChars="50"/>
              <w:rPr>
                <w:rFonts w:ascii="Times New Roman" w:hAnsi="Times New Roman"/>
                <w:sz w:val="18"/>
                <w:szCs w:val="18"/>
              </w:rPr>
            </w:pPr>
            <w:r>
              <w:rPr>
                <w:rFonts w:ascii="Times New Roman" w:hAnsi="Times New Roman"/>
                <w:sz w:val="18"/>
                <w:szCs w:val="18"/>
                <w:u w:val="single"/>
              </w:rPr>
              <w:t xml:space="preserve">   </w:t>
            </w:r>
            <w:r>
              <w:rPr>
                <w:rFonts w:ascii="Times New Roman" w:hAnsi="Times New Roman"/>
                <w:sz w:val="18"/>
                <w:szCs w:val="18"/>
              </w:rPr>
              <w:t>户</w:t>
            </w:r>
            <w:r>
              <w:rPr>
                <w:rFonts w:ascii="Times New Roman" w:hAnsi="Times New Roman"/>
                <w:sz w:val="18"/>
                <w:szCs w:val="18"/>
                <w:u w:val="single"/>
              </w:rPr>
              <w:t xml:space="preserve">   </w:t>
            </w:r>
            <w:r>
              <w:rPr>
                <w:rFonts w:ascii="Times New Roman" w:hAnsi="Times New Roman"/>
                <w:sz w:val="18"/>
                <w:szCs w:val="18"/>
              </w:rPr>
              <w:t>人</w:t>
            </w:r>
          </w:p>
        </w:tc>
        <w:tc>
          <w:tcPr>
            <w:tcW w:w="1366" w:type="dxa"/>
            <w:gridSpan w:val="3"/>
            <w:vAlign w:val="center"/>
          </w:tcPr>
          <w:p w14:paraId="3D833CFE">
            <w:pPr>
              <w:tabs>
                <w:tab w:val="left" w:pos="363"/>
              </w:tabs>
              <w:spacing w:line="240" w:lineRule="auto"/>
              <w:jc w:val="center"/>
              <w:rPr>
                <w:rFonts w:ascii="Times New Roman" w:hAnsi="Times New Roman"/>
                <w:sz w:val="18"/>
                <w:szCs w:val="18"/>
              </w:rPr>
            </w:pPr>
            <w:r>
              <w:rPr>
                <w:rFonts w:hint="eastAsia" w:ascii="Times New Roman" w:hAnsi="Times New Roman"/>
                <w:sz w:val="18"/>
                <w:szCs w:val="18"/>
              </w:rPr>
              <w:t>流动人员</w:t>
            </w:r>
          </w:p>
        </w:tc>
        <w:tc>
          <w:tcPr>
            <w:tcW w:w="1502" w:type="dxa"/>
            <w:gridSpan w:val="2"/>
            <w:vAlign w:val="center"/>
          </w:tcPr>
          <w:p w14:paraId="6EC7B1D7">
            <w:pPr>
              <w:tabs>
                <w:tab w:val="left" w:pos="363"/>
              </w:tabs>
              <w:spacing w:line="240" w:lineRule="auto"/>
              <w:jc w:val="center"/>
              <w:rPr>
                <w:rFonts w:ascii="Times New Roman" w:hAnsi="Times New Roman"/>
                <w:sz w:val="18"/>
                <w:szCs w:val="18"/>
              </w:rPr>
            </w:pPr>
            <w:r>
              <w:rPr>
                <w:rFonts w:ascii="Times New Roman" w:hAnsi="Times New Roman"/>
                <w:sz w:val="18"/>
                <w:szCs w:val="18"/>
              </w:rPr>
              <w:t>人</w:t>
            </w:r>
          </w:p>
        </w:tc>
      </w:tr>
      <w:tr w14:paraId="1CAABF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3" w:hRule="atLeast"/>
          <w:jc w:val="center"/>
        </w:trPr>
        <w:tc>
          <w:tcPr>
            <w:tcW w:w="1203" w:type="dxa"/>
            <w:vMerge w:val="restart"/>
            <w:vAlign w:val="center"/>
          </w:tcPr>
          <w:p w14:paraId="250B5EF4">
            <w:pPr>
              <w:widowControl/>
              <w:spacing w:line="240" w:lineRule="auto"/>
              <w:jc w:val="center"/>
              <w:rPr>
                <w:rFonts w:ascii="Times New Roman" w:hAnsi="Times New Roman"/>
                <w:sz w:val="18"/>
                <w:szCs w:val="18"/>
              </w:rPr>
            </w:pPr>
            <w:r>
              <w:rPr>
                <w:rFonts w:hint="eastAsia" w:ascii="Times New Roman" w:hAnsi="Times New Roman"/>
                <w:sz w:val="18"/>
                <w:szCs w:val="18"/>
              </w:rPr>
              <w:t>工业与民用建筑</w:t>
            </w:r>
          </w:p>
        </w:tc>
        <w:tc>
          <w:tcPr>
            <w:tcW w:w="1164" w:type="dxa"/>
            <w:gridSpan w:val="2"/>
            <w:vAlign w:val="center"/>
          </w:tcPr>
          <w:p w14:paraId="4046768E">
            <w:pPr>
              <w:widowControl/>
              <w:spacing w:line="240" w:lineRule="auto"/>
              <w:jc w:val="center"/>
              <w:rPr>
                <w:rFonts w:ascii="Times New Roman" w:hAnsi="Times New Roman"/>
                <w:sz w:val="18"/>
                <w:szCs w:val="18"/>
              </w:rPr>
            </w:pPr>
            <w:r>
              <w:rPr>
                <w:rFonts w:ascii="Times New Roman" w:hAnsi="Times New Roman"/>
                <w:sz w:val="18"/>
                <w:szCs w:val="18"/>
              </w:rPr>
              <w:t>结构类型</w:t>
            </w:r>
          </w:p>
        </w:tc>
        <w:tc>
          <w:tcPr>
            <w:tcW w:w="6794" w:type="dxa"/>
            <w:gridSpan w:val="13"/>
            <w:vAlign w:val="center"/>
          </w:tcPr>
          <w:p w14:paraId="6A3EFD1A">
            <w:pPr>
              <w:spacing w:line="240" w:lineRule="auto"/>
              <w:rPr>
                <w:rFonts w:ascii="Times New Roman" w:hAnsi="Times New Roman"/>
                <w:sz w:val="18"/>
                <w:szCs w:val="18"/>
              </w:rPr>
            </w:pPr>
            <w:r>
              <w:rPr>
                <w:rFonts w:ascii="Times New Roman" w:hAnsi="Times New Roman"/>
                <w:sz w:val="18"/>
                <w:szCs w:val="18"/>
              </w:rPr>
              <w:t>□房屋</w:t>
            </w:r>
            <w:r>
              <w:rPr>
                <w:rFonts w:ascii="Times New Roman" w:hAnsi="Times New Roman"/>
                <w:sz w:val="18"/>
                <w:szCs w:val="18"/>
                <w:u w:val="single"/>
              </w:rPr>
              <w:t xml:space="preserve">    </w:t>
            </w:r>
            <w:r>
              <w:rPr>
                <w:rFonts w:ascii="Times New Roman" w:hAnsi="Times New Roman"/>
                <w:sz w:val="18"/>
                <w:szCs w:val="18"/>
              </w:rPr>
              <w:t>间， 其中□钢结构</w:t>
            </w:r>
            <w:r>
              <w:rPr>
                <w:rFonts w:ascii="Times New Roman" w:hAnsi="Times New Roman"/>
                <w:sz w:val="18"/>
                <w:szCs w:val="18"/>
                <w:u w:val="single"/>
              </w:rPr>
              <w:t xml:space="preserve">    </w:t>
            </w:r>
            <w:r>
              <w:rPr>
                <w:rFonts w:ascii="Times New Roman" w:hAnsi="Times New Roman"/>
                <w:sz w:val="18"/>
                <w:szCs w:val="18"/>
              </w:rPr>
              <w:t>间  □钢混</w:t>
            </w:r>
            <w:r>
              <w:rPr>
                <w:rFonts w:ascii="Times New Roman" w:hAnsi="Times New Roman"/>
                <w:sz w:val="18"/>
                <w:szCs w:val="18"/>
                <w:u w:val="single"/>
              </w:rPr>
              <w:t xml:space="preserve">    </w:t>
            </w:r>
            <w:r>
              <w:rPr>
                <w:rFonts w:ascii="Times New Roman" w:hAnsi="Times New Roman"/>
                <w:sz w:val="18"/>
                <w:szCs w:val="18"/>
              </w:rPr>
              <w:t>间  □砖混</w:t>
            </w:r>
            <w:r>
              <w:rPr>
                <w:rFonts w:ascii="Times New Roman" w:hAnsi="Times New Roman"/>
                <w:sz w:val="18"/>
                <w:szCs w:val="18"/>
                <w:u w:val="single"/>
              </w:rPr>
              <w:t xml:space="preserve">    </w:t>
            </w:r>
            <w:r>
              <w:rPr>
                <w:rFonts w:ascii="Times New Roman" w:hAnsi="Times New Roman"/>
                <w:sz w:val="18"/>
                <w:szCs w:val="18"/>
              </w:rPr>
              <w:t>间  □砖木</w:t>
            </w:r>
            <w:r>
              <w:rPr>
                <w:rFonts w:ascii="Times New Roman" w:hAnsi="Times New Roman"/>
                <w:sz w:val="18"/>
                <w:szCs w:val="18"/>
                <w:u w:val="single"/>
              </w:rPr>
              <w:t xml:space="preserve">    </w:t>
            </w:r>
            <w:r>
              <w:rPr>
                <w:rFonts w:ascii="Times New Roman" w:hAnsi="Times New Roman"/>
                <w:sz w:val="18"/>
                <w:szCs w:val="18"/>
              </w:rPr>
              <w:t>间</w:t>
            </w:r>
          </w:p>
          <w:p w14:paraId="0D80AE48">
            <w:pPr>
              <w:spacing w:line="240" w:lineRule="auto"/>
              <w:rPr>
                <w:rFonts w:ascii="Times New Roman" w:hAnsi="Times New Roman"/>
                <w:sz w:val="18"/>
                <w:szCs w:val="18"/>
              </w:rPr>
            </w:pPr>
            <w:r>
              <w:rPr>
                <w:rFonts w:ascii="Times New Roman" w:hAnsi="Times New Roman"/>
                <w:sz w:val="18"/>
                <w:szCs w:val="18"/>
              </w:rPr>
              <w:t>□土坯</w:t>
            </w:r>
            <w:r>
              <w:rPr>
                <w:rFonts w:ascii="Times New Roman" w:hAnsi="Times New Roman"/>
                <w:sz w:val="18"/>
                <w:szCs w:val="18"/>
                <w:u w:val="single"/>
              </w:rPr>
              <w:t xml:space="preserve">    </w:t>
            </w:r>
            <w:r>
              <w:rPr>
                <w:rFonts w:ascii="Times New Roman" w:hAnsi="Times New Roman"/>
                <w:sz w:val="18"/>
                <w:szCs w:val="18"/>
              </w:rPr>
              <w:t>间  □其他：</w:t>
            </w:r>
            <w:r>
              <w:rPr>
                <w:rFonts w:ascii="Times New Roman" w:hAnsi="Times New Roman"/>
                <w:sz w:val="18"/>
                <w:szCs w:val="18"/>
                <w:u w:val="single"/>
              </w:rPr>
              <w:t xml:space="preserve">       </w:t>
            </w:r>
          </w:p>
        </w:tc>
      </w:tr>
      <w:tr w14:paraId="1687D3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4" w:hRule="atLeast"/>
          <w:jc w:val="center"/>
        </w:trPr>
        <w:tc>
          <w:tcPr>
            <w:tcW w:w="1203" w:type="dxa"/>
            <w:vMerge w:val="continue"/>
            <w:vAlign w:val="center"/>
          </w:tcPr>
          <w:p w14:paraId="5D8EAA71">
            <w:pPr>
              <w:widowControl/>
              <w:spacing w:line="240" w:lineRule="auto"/>
              <w:jc w:val="center"/>
              <w:rPr>
                <w:rFonts w:ascii="Times New Roman" w:hAnsi="Times New Roman"/>
                <w:sz w:val="18"/>
                <w:szCs w:val="18"/>
              </w:rPr>
            </w:pPr>
          </w:p>
        </w:tc>
        <w:tc>
          <w:tcPr>
            <w:tcW w:w="1164" w:type="dxa"/>
            <w:gridSpan w:val="2"/>
            <w:vAlign w:val="center"/>
          </w:tcPr>
          <w:p w14:paraId="452D9D3F">
            <w:pPr>
              <w:widowControl/>
              <w:spacing w:line="240" w:lineRule="auto"/>
              <w:jc w:val="center"/>
              <w:rPr>
                <w:rFonts w:ascii="Times New Roman" w:hAnsi="Times New Roman"/>
                <w:sz w:val="18"/>
                <w:szCs w:val="18"/>
              </w:rPr>
            </w:pPr>
            <w:r>
              <w:rPr>
                <w:rFonts w:ascii="Times New Roman" w:hAnsi="Times New Roman"/>
                <w:sz w:val="18"/>
                <w:szCs w:val="18"/>
              </w:rPr>
              <w:t>建筑用途</w:t>
            </w:r>
          </w:p>
        </w:tc>
        <w:tc>
          <w:tcPr>
            <w:tcW w:w="6794" w:type="dxa"/>
            <w:gridSpan w:val="13"/>
            <w:vAlign w:val="center"/>
          </w:tcPr>
          <w:p w14:paraId="01F65ED2">
            <w:pPr>
              <w:tabs>
                <w:tab w:val="left" w:pos="363"/>
              </w:tabs>
              <w:spacing w:line="240" w:lineRule="auto"/>
              <w:rPr>
                <w:rFonts w:ascii="Times New Roman" w:hAnsi="Times New Roman"/>
                <w:sz w:val="18"/>
                <w:szCs w:val="18"/>
              </w:rPr>
            </w:pPr>
            <w:r>
              <w:rPr>
                <w:rFonts w:ascii="Times New Roman" w:hAnsi="Times New Roman"/>
                <w:sz w:val="18"/>
                <w:szCs w:val="18"/>
              </w:rPr>
              <w:t>□民房</w:t>
            </w:r>
            <w:r>
              <w:rPr>
                <w:rFonts w:ascii="Times New Roman" w:hAnsi="Times New Roman"/>
                <w:sz w:val="18"/>
                <w:szCs w:val="18"/>
                <w:u w:val="single"/>
              </w:rPr>
              <w:t xml:space="preserve">   </w:t>
            </w:r>
            <w:r>
              <w:rPr>
                <w:rFonts w:ascii="Times New Roman" w:hAnsi="Times New Roman"/>
                <w:sz w:val="18"/>
                <w:szCs w:val="18"/>
              </w:rPr>
              <w:t>间  □学校</w:t>
            </w:r>
            <w:r>
              <w:rPr>
                <w:rFonts w:ascii="Times New Roman" w:hAnsi="Times New Roman"/>
                <w:sz w:val="18"/>
                <w:szCs w:val="18"/>
                <w:u w:val="single"/>
              </w:rPr>
              <w:t xml:space="preserve">   </w:t>
            </w:r>
            <w:r>
              <w:rPr>
                <w:rFonts w:ascii="Times New Roman" w:hAnsi="Times New Roman"/>
                <w:sz w:val="18"/>
                <w:szCs w:val="18"/>
              </w:rPr>
              <w:t>个  □医院</w:t>
            </w:r>
            <w:r>
              <w:rPr>
                <w:rFonts w:ascii="Times New Roman" w:hAnsi="Times New Roman"/>
                <w:sz w:val="18"/>
                <w:szCs w:val="18"/>
                <w:u w:val="single"/>
              </w:rPr>
              <w:t xml:space="preserve">   </w:t>
            </w:r>
            <w:r>
              <w:rPr>
                <w:rFonts w:ascii="Times New Roman" w:hAnsi="Times New Roman"/>
                <w:sz w:val="18"/>
                <w:szCs w:val="18"/>
              </w:rPr>
              <w:t>个  □</w:t>
            </w:r>
            <w:r>
              <w:rPr>
                <w:rFonts w:hint="eastAsia" w:ascii="Times New Roman" w:hAnsi="Times New Roman"/>
                <w:sz w:val="18"/>
                <w:szCs w:val="18"/>
              </w:rPr>
              <w:t>宗教场所</w:t>
            </w:r>
            <w:r>
              <w:rPr>
                <w:rFonts w:ascii="Times New Roman" w:hAnsi="Times New Roman"/>
                <w:sz w:val="18"/>
                <w:szCs w:val="18"/>
                <w:u w:val="single"/>
              </w:rPr>
              <w:t xml:space="preserve">   </w:t>
            </w:r>
            <w:r>
              <w:rPr>
                <w:rFonts w:ascii="Times New Roman" w:hAnsi="Times New Roman"/>
                <w:sz w:val="18"/>
                <w:szCs w:val="18"/>
              </w:rPr>
              <w:t>个  □</w:t>
            </w:r>
            <w:r>
              <w:rPr>
                <w:rFonts w:hint="eastAsia" w:ascii="Times New Roman" w:hAnsi="Times New Roman"/>
                <w:sz w:val="18"/>
                <w:szCs w:val="18"/>
              </w:rPr>
              <w:t>厂房</w:t>
            </w:r>
            <w:r>
              <w:rPr>
                <w:rFonts w:ascii="Times New Roman" w:hAnsi="Times New Roman"/>
                <w:sz w:val="18"/>
                <w:szCs w:val="18"/>
                <w:u w:val="single"/>
              </w:rPr>
              <w:t xml:space="preserve">   </w:t>
            </w:r>
            <w:r>
              <w:rPr>
                <w:rFonts w:ascii="Times New Roman" w:hAnsi="Times New Roman"/>
                <w:sz w:val="18"/>
                <w:szCs w:val="18"/>
              </w:rPr>
              <w:t xml:space="preserve">间  </w:t>
            </w:r>
          </w:p>
          <w:p w14:paraId="63A0451A">
            <w:pPr>
              <w:widowControl/>
              <w:tabs>
                <w:tab w:val="left" w:pos="363"/>
              </w:tabs>
              <w:spacing w:line="240" w:lineRule="auto"/>
              <w:rPr>
                <w:rFonts w:ascii="Times New Roman" w:hAnsi="Times New Roman"/>
                <w:sz w:val="18"/>
                <w:szCs w:val="18"/>
              </w:rPr>
            </w:pPr>
            <w:r>
              <w:rPr>
                <w:rFonts w:ascii="Times New Roman" w:hAnsi="Times New Roman"/>
                <w:sz w:val="18"/>
                <w:szCs w:val="18"/>
              </w:rPr>
              <w:t>□</w:t>
            </w:r>
            <w:r>
              <w:rPr>
                <w:rFonts w:hint="eastAsia" w:ascii="Times New Roman" w:hAnsi="Times New Roman"/>
                <w:sz w:val="18"/>
                <w:szCs w:val="18"/>
              </w:rPr>
              <w:t>工棚</w:t>
            </w:r>
            <w:r>
              <w:rPr>
                <w:rFonts w:ascii="Times New Roman" w:hAnsi="Times New Roman"/>
                <w:sz w:val="18"/>
                <w:szCs w:val="18"/>
                <w:u w:val="single"/>
              </w:rPr>
              <w:t xml:space="preserve">   </w:t>
            </w:r>
            <w:r>
              <w:rPr>
                <w:rFonts w:hint="eastAsia" w:ascii="Times New Roman" w:hAnsi="Times New Roman"/>
                <w:sz w:val="18"/>
                <w:szCs w:val="18"/>
              </w:rPr>
              <w:t>个</w:t>
            </w:r>
            <w:r>
              <w:rPr>
                <w:rFonts w:ascii="Times New Roman" w:hAnsi="Times New Roman"/>
                <w:sz w:val="18"/>
                <w:szCs w:val="18"/>
              </w:rPr>
              <w:t xml:space="preserve">  □</w:t>
            </w:r>
            <w:r>
              <w:rPr>
                <w:rFonts w:hint="eastAsia" w:ascii="Times New Roman" w:hAnsi="Times New Roman"/>
                <w:sz w:val="18"/>
                <w:szCs w:val="18"/>
              </w:rPr>
              <w:t>养殖场</w:t>
            </w:r>
            <w:r>
              <w:rPr>
                <w:rFonts w:ascii="Times New Roman" w:hAnsi="Times New Roman"/>
                <w:sz w:val="18"/>
                <w:szCs w:val="18"/>
                <w:u w:val="single"/>
              </w:rPr>
              <w:t xml:space="preserve">   </w:t>
            </w:r>
            <w:r>
              <w:rPr>
                <w:rFonts w:hint="eastAsia" w:ascii="Times New Roman" w:hAnsi="Times New Roman"/>
                <w:sz w:val="18"/>
                <w:szCs w:val="18"/>
              </w:rPr>
              <w:t>个</w:t>
            </w:r>
            <w:r>
              <w:rPr>
                <w:rFonts w:ascii="Times New Roman" w:hAnsi="Times New Roman"/>
                <w:sz w:val="18"/>
                <w:szCs w:val="18"/>
              </w:rPr>
              <w:t xml:space="preserve">  □其他：</w:t>
            </w:r>
            <w:r>
              <w:rPr>
                <w:rFonts w:ascii="Times New Roman" w:hAnsi="Times New Roman"/>
                <w:sz w:val="18"/>
                <w:szCs w:val="18"/>
                <w:u w:val="single"/>
              </w:rPr>
              <w:t xml:space="preserve">      </w:t>
            </w:r>
          </w:p>
        </w:tc>
      </w:tr>
      <w:tr w14:paraId="6D7E6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2" w:hRule="atLeast"/>
          <w:jc w:val="center"/>
        </w:trPr>
        <w:tc>
          <w:tcPr>
            <w:tcW w:w="1203" w:type="dxa"/>
            <w:vMerge w:val="continue"/>
            <w:vAlign w:val="center"/>
          </w:tcPr>
          <w:p w14:paraId="73D2A33E">
            <w:pPr>
              <w:widowControl/>
              <w:spacing w:line="240" w:lineRule="auto"/>
              <w:jc w:val="center"/>
              <w:rPr>
                <w:rFonts w:ascii="Times New Roman" w:hAnsi="Times New Roman"/>
                <w:sz w:val="18"/>
                <w:szCs w:val="18"/>
              </w:rPr>
            </w:pPr>
          </w:p>
        </w:tc>
        <w:tc>
          <w:tcPr>
            <w:tcW w:w="1164" w:type="dxa"/>
            <w:gridSpan w:val="2"/>
            <w:vAlign w:val="center"/>
          </w:tcPr>
          <w:p w14:paraId="72CD7A74">
            <w:pPr>
              <w:widowControl/>
              <w:spacing w:line="240" w:lineRule="auto"/>
              <w:jc w:val="center"/>
              <w:rPr>
                <w:rFonts w:ascii="Times New Roman" w:hAnsi="Times New Roman"/>
                <w:sz w:val="18"/>
                <w:szCs w:val="18"/>
              </w:rPr>
            </w:pPr>
            <w:r>
              <w:rPr>
                <w:rFonts w:ascii="Times New Roman" w:hAnsi="Times New Roman"/>
                <w:sz w:val="18"/>
                <w:szCs w:val="18"/>
              </w:rPr>
              <w:t>总建筑面积（m</w:t>
            </w:r>
            <w:r>
              <w:rPr>
                <w:rFonts w:ascii="Times New Roman" w:hAnsi="Times New Roman"/>
                <w:sz w:val="18"/>
                <w:szCs w:val="18"/>
                <w:vertAlign w:val="superscript"/>
              </w:rPr>
              <w:t>2</w:t>
            </w:r>
            <w:r>
              <w:rPr>
                <w:rFonts w:ascii="Times New Roman" w:hAnsi="Times New Roman"/>
                <w:sz w:val="18"/>
                <w:szCs w:val="18"/>
              </w:rPr>
              <w:t>）</w:t>
            </w:r>
          </w:p>
        </w:tc>
        <w:tc>
          <w:tcPr>
            <w:tcW w:w="1426" w:type="dxa"/>
            <w:gridSpan w:val="3"/>
            <w:vAlign w:val="center"/>
          </w:tcPr>
          <w:p w14:paraId="4FDFBAF0">
            <w:pPr>
              <w:widowControl/>
              <w:spacing w:line="240" w:lineRule="auto"/>
              <w:jc w:val="center"/>
              <w:rPr>
                <w:rFonts w:ascii="Times New Roman" w:hAnsi="Times New Roman"/>
                <w:sz w:val="18"/>
                <w:szCs w:val="18"/>
              </w:rPr>
            </w:pPr>
          </w:p>
        </w:tc>
        <w:tc>
          <w:tcPr>
            <w:tcW w:w="1276" w:type="dxa"/>
            <w:gridSpan w:val="3"/>
            <w:vAlign w:val="center"/>
          </w:tcPr>
          <w:p w14:paraId="55135A55">
            <w:pPr>
              <w:widowControl/>
              <w:spacing w:line="240" w:lineRule="auto"/>
              <w:jc w:val="center"/>
              <w:rPr>
                <w:rFonts w:ascii="Times New Roman" w:hAnsi="Times New Roman"/>
                <w:sz w:val="18"/>
                <w:szCs w:val="18"/>
              </w:rPr>
            </w:pPr>
            <w:r>
              <w:rPr>
                <w:rFonts w:ascii="Times New Roman" w:hAnsi="Times New Roman"/>
                <w:sz w:val="18"/>
                <w:szCs w:val="18"/>
              </w:rPr>
              <w:t>受威胁价值（万元）</w:t>
            </w:r>
          </w:p>
        </w:tc>
        <w:tc>
          <w:tcPr>
            <w:tcW w:w="1318" w:type="dxa"/>
            <w:gridSpan w:val="3"/>
            <w:vAlign w:val="center"/>
          </w:tcPr>
          <w:p w14:paraId="627D6437">
            <w:pPr>
              <w:widowControl/>
              <w:spacing w:line="240" w:lineRule="auto"/>
              <w:jc w:val="center"/>
              <w:rPr>
                <w:rFonts w:ascii="Times New Roman" w:hAnsi="Times New Roman"/>
                <w:sz w:val="18"/>
                <w:szCs w:val="18"/>
              </w:rPr>
            </w:pPr>
          </w:p>
        </w:tc>
        <w:tc>
          <w:tcPr>
            <w:tcW w:w="1319" w:type="dxa"/>
            <w:gridSpan w:val="3"/>
            <w:vAlign w:val="center"/>
          </w:tcPr>
          <w:p w14:paraId="7F7A7D0D">
            <w:pPr>
              <w:widowControl/>
              <w:spacing w:line="240" w:lineRule="auto"/>
              <w:jc w:val="center"/>
              <w:rPr>
                <w:rFonts w:ascii="Times New Roman" w:hAnsi="Times New Roman"/>
                <w:sz w:val="18"/>
                <w:szCs w:val="18"/>
              </w:rPr>
            </w:pPr>
            <w:r>
              <w:rPr>
                <w:rFonts w:ascii="Times New Roman" w:hAnsi="Times New Roman"/>
                <w:sz w:val="18"/>
                <w:szCs w:val="18"/>
              </w:rPr>
              <w:t>使用情况</w:t>
            </w:r>
          </w:p>
        </w:tc>
        <w:tc>
          <w:tcPr>
            <w:tcW w:w="1455" w:type="dxa"/>
            <w:vAlign w:val="center"/>
          </w:tcPr>
          <w:p w14:paraId="191C4B38">
            <w:pPr>
              <w:widowControl/>
              <w:spacing w:line="240" w:lineRule="auto"/>
              <w:jc w:val="center"/>
              <w:rPr>
                <w:rFonts w:ascii="Times New Roman" w:hAnsi="Times New Roman"/>
                <w:sz w:val="18"/>
                <w:szCs w:val="18"/>
              </w:rPr>
            </w:pPr>
          </w:p>
        </w:tc>
      </w:tr>
      <w:tr w14:paraId="1C4B9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10" w:hRule="atLeast"/>
          <w:jc w:val="center"/>
        </w:trPr>
        <w:tc>
          <w:tcPr>
            <w:tcW w:w="1203" w:type="dxa"/>
            <w:vMerge w:val="restart"/>
            <w:vAlign w:val="center"/>
          </w:tcPr>
          <w:p w14:paraId="24737557">
            <w:pPr>
              <w:widowControl/>
              <w:spacing w:line="240" w:lineRule="auto"/>
              <w:jc w:val="center"/>
              <w:rPr>
                <w:rFonts w:ascii="Times New Roman" w:hAnsi="Times New Roman"/>
                <w:sz w:val="18"/>
                <w:szCs w:val="18"/>
              </w:rPr>
            </w:pPr>
            <w:r>
              <w:rPr>
                <w:rFonts w:hint="eastAsia" w:ascii="Times New Roman" w:hAnsi="Times New Roman"/>
                <w:sz w:val="18"/>
                <w:szCs w:val="18"/>
              </w:rPr>
              <w:t>基础设施</w:t>
            </w:r>
          </w:p>
        </w:tc>
        <w:tc>
          <w:tcPr>
            <w:tcW w:w="1164" w:type="dxa"/>
            <w:gridSpan w:val="2"/>
            <w:vAlign w:val="center"/>
          </w:tcPr>
          <w:p w14:paraId="7C695229">
            <w:pPr>
              <w:widowControl/>
              <w:spacing w:line="240" w:lineRule="auto"/>
              <w:jc w:val="center"/>
              <w:rPr>
                <w:rFonts w:ascii="Times New Roman" w:hAnsi="Times New Roman"/>
                <w:sz w:val="18"/>
                <w:szCs w:val="18"/>
              </w:rPr>
            </w:pPr>
            <w:r>
              <w:rPr>
                <w:rFonts w:ascii="Times New Roman" w:hAnsi="Times New Roman"/>
                <w:sz w:val="18"/>
                <w:szCs w:val="18"/>
              </w:rPr>
              <w:t>类型</w:t>
            </w:r>
          </w:p>
        </w:tc>
        <w:tc>
          <w:tcPr>
            <w:tcW w:w="6794" w:type="dxa"/>
            <w:gridSpan w:val="13"/>
            <w:vAlign w:val="center"/>
          </w:tcPr>
          <w:p w14:paraId="6F81DAA4">
            <w:pPr>
              <w:widowControl/>
              <w:spacing w:line="240" w:lineRule="auto"/>
              <w:rPr>
                <w:rFonts w:ascii="Times New Roman" w:hAnsi="Times New Roman"/>
                <w:sz w:val="18"/>
                <w:szCs w:val="18"/>
              </w:rPr>
            </w:pPr>
            <w:r>
              <w:rPr>
                <w:rFonts w:ascii="Times New Roman" w:hAnsi="Times New Roman"/>
                <w:sz w:val="18"/>
                <w:szCs w:val="18"/>
              </w:rPr>
              <w:t>□高速铁路</w:t>
            </w:r>
            <w:r>
              <w:rPr>
                <w:rFonts w:ascii="Times New Roman" w:hAnsi="Times New Roman"/>
                <w:sz w:val="18"/>
                <w:szCs w:val="18"/>
                <w:u w:val="single"/>
              </w:rPr>
              <w:t xml:space="preserve">  </w:t>
            </w:r>
            <w:r>
              <w:rPr>
                <w:rFonts w:ascii="Times New Roman" w:hAnsi="Times New Roman"/>
                <w:sz w:val="18"/>
                <w:szCs w:val="18"/>
              </w:rPr>
              <w:t>m  □一般铁路</w:t>
            </w:r>
            <w:r>
              <w:rPr>
                <w:rFonts w:ascii="Times New Roman" w:hAnsi="Times New Roman"/>
                <w:sz w:val="18"/>
                <w:szCs w:val="18"/>
                <w:u w:val="single"/>
              </w:rPr>
              <w:t xml:space="preserve">  </w:t>
            </w:r>
            <w:r>
              <w:rPr>
                <w:rFonts w:ascii="Times New Roman" w:hAnsi="Times New Roman"/>
                <w:sz w:val="18"/>
                <w:szCs w:val="18"/>
              </w:rPr>
              <w:t>m  □地铁</w:t>
            </w:r>
            <w:r>
              <w:rPr>
                <w:rFonts w:ascii="Times New Roman" w:hAnsi="Times New Roman"/>
                <w:sz w:val="18"/>
                <w:szCs w:val="18"/>
                <w:u w:val="single"/>
              </w:rPr>
              <w:t xml:space="preserve">   </w:t>
            </w:r>
            <w:r>
              <w:rPr>
                <w:rFonts w:ascii="Times New Roman" w:hAnsi="Times New Roman"/>
                <w:sz w:val="18"/>
                <w:szCs w:val="18"/>
              </w:rPr>
              <w:t>m  □轻轨</w:t>
            </w:r>
            <w:r>
              <w:rPr>
                <w:rFonts w:ascii="Times New Roman" w:hAnsi="Times New Roman"/>
                <w:sz w:val="18"/>
                <w:szCs w:val="18"/>
                <w:u w:val="single"/>
              </w:rPr>
              <w:t xml:space="preserve">   </w:t>
            </w:r>
            <w:r>
              <w:rPr>
                <w:rFonts w:ascii="Times New Roman" w:hAnsi="Times New Roman"/>
                <w:sz w:val="18"/>
                <w:szCs w:val="18"/>
              </w:rPr>
              <w:t>m  □城市路面轨道</w:t>
            </w:r>
            <w:r>
              <w:rPr>
                <w:rFonts w:ascii="Times New Roman" w:hAnsi="Times New Roman"/>
                <w:sz w:val="18"/>
                <w:szCs w:val="18"/>
                <w:u w:val="single"/>
              </w:rPr>
              <w:t xml:space="preserve">   </w:t>
            </w:r>
            <w:r>
              <w:rPr>
                <w:rFonts w:ascii="Times New Roman" w:hAnsi="Times New Roman"/>
                <w:sz w:val="18"/>
                <w:szCs w:val="18"/>
              </w:rPr>
              <w:t>m</w:t>
            </w:r>
          </w:p>
          <w:p w14:paraId="63ADA735">
            <w:pPr>
              <w:widowControl/>
              <w:spacing w:line="240" w:lineRule="auto"/>
              <w:rPr>
                <w:rFonts w:ascii="Times New Roman" w:hAnsi="Times New Roman"/>
                <w:sz w:val="18"/>
                <w:szCs w:val="18"/>
              </w:rPr>
            </w:pPr>
            <w:r>
              <w:rPr>
                <w:rFonts w:ascii="Times New Roman" w:hAnsi="Times New Roman"/>
                <w:sz w:val="18"/>
                <w:szCs w:val="18"/>
              </w:rPr>
              <w:t>□高速公路</w:t>
            </w:r>
            <w:r>
              <w:rPr>
                <w:rFonts w:ascii="Times New Roman" w:hAnsi="Times New Roman"/>
                <w:sz w:val="18"/>
                <w:szCs w:val="18"/>
                <w:u w:val="single"/>
              </w:rPr>
              <w:t xml:space="preserve">   </w:t>
            </w:r>
            <w:r>
              <w:rPr>
                <w:rFonts w:ascii="Times New Roman" w:hAnsi="Times New Roman"/>
                <w:sz w:val="18"/>
                <w:szCs w:val="18"/>
              </w:rPr>
              <w:t>m  □国家级公路</w:t>
            </w:r>
            <w:r>
              <w:rPr>
                <w:rFonts w:ascii="Times New Roman" w:hAnsi="Times New Roman"/>
                <w:sz w:val="18"/>
                <w:szCs w:val="18"/>
                <w:u w:val="single"/>
              </w:rPr>
              <w:t xml:space="preserve">   </w:t>
            </w:r>
            <w:r>
              <w:rPr>
                <w:rFonts w:ascii="Times New Roman" w:hAnsi="Times New Roman"/>
                <w:sz w:val="18"/>
                <w:szCs w:val="18"/>
              </w:rPr>
              <w:t>m  □省级公路</w:t>
            </w:r>
            <w:r>
              <w:rPr>
                <w:rFonts w:ascii="Times New Roman" w:hAnsi="Times New Roman"/>
                <w:sz w:val="18"/>
                <w:szCs w:val="18"/>
                <w:u w:val="single"/>
              </w:rPr>
              <w:t xml:space="preserve">   </w:t>
            </w:r>
            <w:r>
              <w:rPr>
                <w:rFonts w:ascii="Times New Roman" w:hAnsi="Times New Roman"/>
                <w:sz w:val="18"/>
                <w:szCs w:val="18"/>
              </w:rPr>
              <w:t>m  □城市道路</w:t>
            </w:r>
            <w:r>
              <w:rPr>
                <w:rFonts w:ascii="Times New Roman" w:hAnsi="Times New Roman"/>
                <w:sz w:val="18"/>
                <w:szCs w:val="18"/>
                <w:u w:val="single"/>
              </w:rPr>
              <w:t xml:space="preserve">   </w:t>
            </w:r>
            <w:r>
              <w:rPr>
                <w:rFonts w:ascii="Times New Roman" w:hAnsi="Times New Roman"/>
                <w:sz w:val="18"/>
                <w:szCs w:val="18"/>
              </w:rPr>
              <w:t xml:space="preserve">m </w:t>
            </w:r>
          </w:p>
          <w:p w14:paraId="17F4902C">
            <w:pPr>
              <w:widowControl/>
              <w:spacing w:line="240" w:lineRule="auto"/>
              <w:rPr>
                <w:rFonts w:ascii="Times New Roman" w:hAnsi="Times New Roman"/>
                <w:sz w:val="18"/>
                <w:szCs w:val="18"/>
              </w:rPr>
            </w:pPr>
            <w:r>
              <w:rPr>
                <w:rFonts w:ascii="Times New Roman" w:hAnsi="Times New Roman"/>
                <w:sz w:val="18"/>
                <w:szCs w:val="18"/>
              </w:rPr>
              <w:t>□一般公路</w:t>
            </w:r>
            <w:r>
              <w:rPr>
                <w:rFonts w:ascii="Times New Roman" w:hAnsi="Times New Roman"/>
                <w:sz w:val="18"/>
                <w:szCs w:val="18"/>
                <w:u w:val="single"/>
              </w:rPr>
              <w:t xml:space="preserve">   </w:t>
            </w:r>
            <w:r>
              <w:rPr>
                <w:rFonts w:ascii="Times New Roman" w:hAnsi="Times New Roman"/>
                <w:sz w:val="18"/>
                <w:szCs w:val="18"/>
              </w:rPr>
              <w:t>m</w:t>
            </w:r>
            <w:r>
              <w:rPr>
                <w:rFonts w:hint="eastAsia" w:ascii="Times New Roman" w:hAnsi="Times New Roman"/>
                <w:sz w:val="18"/>
                <w:szCs w:val="18"/>
              </w:rPr>
              <w:t xml:space="preserve">  </w:t>
            </w:r>
            <w:r>
              <w:rPr>
                <w:rFonts w:ascii="Times New Roman" w:hAnsi="Times New Roman"/>
                <w:sz w:val="18"/>
                <w:szCs w:val="18"/>
              </w:rPr>
              <w:t>□水库</w:t>
            </w:r>
            <w:r>
              <w:rPr>
                <w:rFonts w:ascii="Times New Roman" w:hAnsi="Times New Roman"/>
                <w:sz w:val="18"/>
                <w:szCs w:val="18"/>
                <w:u w:val="single"/>
              </w:rPr>
              <w:t xml:space="preserve">   </w:t>
            </w:r>
            <w:r>
              <w:rPr>
                <w:rFonts w:ascii="Times New Roman" w:hAnsi="Times New Roman"/>
                <w:sz w:val="18"/>
                <w:szCs w:val="18"/>
              </w:rPr>
              <w:t>座  □电站</w:t>
            </w:r>
            <w:r>
              <w:rPr>
                <w:rFonts w:ascii="Times New Roman" w:hAnsi="Times New Roman"/>
                <w:sz w:val="18"/>
                <w:szCs w:val="18"/>
                <w:u w:val="single"/>
              </w:rPr>
              <w:t xml:space="preserve">   </w:t>
            </w:r>
            <w:r>
              <w:rPr>
                <w:rFonts w:ascii="Times New Roman" w:hAnsi="Times New Roman"/>
                <w:sz w:val="18"/>
                <w:szCs w:val="18"/>
              </w:rPr>
              <w:t>座  □通讯线路</w:t>
            </w:r>
            <w:r>
              <w:rPr>
                <w:rFonts w:ascii="Times New Roman" w:hAnsi="Times New Roman"/>
                <w:sz w:val="18"/>
                <w:szCs w:val="18"/>
                <w:u w:val="single"/>
              </w:rPr>
              <w:t xml:space="preserve">   </w:t>
            </w:r>
            <w:r>
              <w:rPr>
                <w:rFonts w:ascii="Times New Roman" w:hAnsi="Times New Roman"/>
                <w:sz w:val="18"/>
                <w:szCs w:val="18"/>
              </w:rPr>
              <w:t>m  □输电线路</w:t>
            </w:r>
            <w:r>
              <w:rPr>
                <w:rFonts w:ascii="Times New Roman" w:hAnsi="Times New Roman"/>
                <w:sz w:val="18"/>
                <w:szCs w:val="18"/>
                <w:u w:val="single"/>
              </w:rPr>
              <w:t xml:space="preserve">   </w:t>
            </w:r>
            <w:r>
              <w:rPr>
                <w:rFonts w:hint="eastAsia" w:ascii="Times New Roman" w:hAnsi="Times New Roman"/>
                <w:sz w:val="18"/>
                <w:szCs w:val="18"/>
              </w:rPr>
              <w:t>m</w:t>
            </w:r>
            <w:r>
              <w:rPr>
                <w:rFonts w:ascii="Times New Roman" w:hAnsi="Times New Roman"/>
                <w:sz w:val="18"/>
                <w:szCs w:val="18"/>
              </w:rPr>
              <w:t xml:space="preserve">  □输水线路</w:t>
            </w:r>
            <w:r>
              <w:rPr>
                <w:rFonts w:ascii="Times New Roman" w:hAnsi="Times New Roman"/>
                <w:sz w:val="18"/>
                <w:szCs w:val="18"/>
                <w:u w:val="single"/>
              </w:rPr>
              <w:t xml:space="preserve">   </w:t>
            </w:r>
            <w:r>
              <w:rPr>
                <w:rFonts w:ascii="Times New Roman" w:hAnsi="Times New Roman"/>
                <w:sz w:val="18"/>
                <w:szCs w:val="18"/>
              </w:rPr>
              <w:t>m</w:t>
            </w:r>
            <w:r>
              <w:rPr>
                <w:rFonts w:hint="eastAsia" w:ascii="Times New Roman" w:hAnsi="Times New Roman"/>
                <w:sz w:val="18"/>
                <w:szCs w:val="18"/>
              </w:rPr>
              <w:t xml:space="preserve">  </w:t>
            </w:r>
            <w:r>
              <w:rPr>
                <w:rFonts w:ascii="Times New Roman" w:hAnsi="Times New Roman"/>
                <w:sz w:val="18"/>
                <w:szCs w:val="18"/>
              </w:rPr>
              <w:t>□油气线路</w:t>
            </w:r>
            <w:r>
              <w:rPr>
                <w:rFonts w:ascii="Times New Roman" w:hAnsi="Times New Roman"/>
                <w:sz w:val="18"/>
                <w:szCs w:val="18"/>
                <w:u w:val="single"/>
              </w:rPr>
              <w:t xml:space="preserve">   </w:t>
            </w:r>
            <w:r>
              <w:rPr>
                <w:rFonts w:ascii="Times New Roman" w:hAnsi="Times New Roman"/>
                <w:sz w:val="18"/>
                <w:szCs w:val="18"/>
              </w:rPr>
              <w:t>m  □其他：</w:t>
            </w:r>
            <w:r>
              <w:rPr>
                <w:rFonts w:ascii="Times New Roman" w:hAnsi="Times New Roman"/>
                <w:sz w:val="18"/>
                <w:szCs w:val="18"/>
                <w:u w:val="single"/>
              </w:rPr>
              <w:t xml:space="preserve">       </w:t>
            </w:r>
          </w:p>
        </w:tc>
      </w:tr>
      <w:tr w14:paraId="6D5346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 w:hRule="atLeast"/>
          <w:jc w:val="center"/>
        </w:trPr>
        <w:tc>
          <w:tcPr>
            <w:tcW w:w="1203" w:type="dxa"/>
            <w:vMerge w:val="continue"/>
            <w:vAlign w:val="center"/>
          </w:tcPr>
          <w:p w14:paraId="1B94EFAC">
            <w:pPr>
              <w:widowControl/>
              <w:spacing w:line="240" w:lineRule="auto"/>
              <w:jc w:val="center"/>
              <w:rPr>
                <w:rFonts w:ascii="Times New Roman" w:hAnsi="Times New Roman"/>
                <w:sz w:val="18"/>
                <w:szCs w:val="18"/>
              </w:rPr>
            </w:pPr>
          </w:p>
        </w:tc>
        <w:tc>
          <w:tcPr>
            <w:tcW w:w="1164" w:type="dxa"/>
            <w:gridSpan w:val="2"/>
            <w:vAlign w:val="center"/>
          </w:tcPr>
          <w:p w14:paraId="3BBB50A2">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受威胁价值</w:t>
            </w:r>
          </w:p>
          <w:p w14:paraId="1C1124B4">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（万元））</w:t>
            </w:r>
          </w:p>
        </w:tc>
        <w:tc>
          <w:tcPr>
            <w:tcW w:w="6794" w:type="dxa"/>
            <w:gridSpan w:val="13"/>
            <w:vAlign w:val="center"/>
          </w:tcPr>
          <w:p w14:paraId="58B9DCAA">
            <w:pPr>
              <w:widowControl/>
              <w:spacing w:line="240" w:lineRule="auto"/>
              <w:jc w:val="center"/>
              <w:rPr>
                <w:rFonts w:ascii="Times New Roman" w:hAnsi="Times New Roman"/>
                <w:sz w:val="18"/>
                <w:szCs w:val="18"/>
              </w:rPr>
            </w:pPr>
          </w:p>
        </w:tc>
      </w:tr>
      <w:tr w14:paraId="4C0D8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74" w:hRule="atLeast"/>
          <w:jc w:val="center"/>
        </w:trPr>
        <w:tc>
          <w:tcPr>
            <w:tcW w:w="1203" w:type="dxa"/>
            <w:vMerge w:val="restart"/>
            <w:vAlign w:val="center"/>
          </w:tcPr>
          <w:p w14:paraId="2EBE569E">
            <w:pPr>
              <w:widowControl/>
              <w:tabs>
                <w:tab w:val="left" w:pos="363"/>
              </w:tabs>
              <w:spacing w:line="240" w:lineRule="auto"/>
              <w:jc w:val="center"/>
              <w:rPr>
                <w:rFonts w:ascii="Times New Roman" w:hAnsi="Times New Roman"/>
                <w:sz w:val="18"/>
                <w:szCs w:val="18"/>
              </w:rPr>
            </w:pPr>
            <w:r>
              <w:rPr>
                <w:rFonts w:hint="eastAsia" w:ascii="Times New Roman" w:hAnsi="Times New Roman"/>
                <w:sz w:val="18"/>
                <w:szCs w:val="18"/>
              </w:rPr>
              <w:t>工程活动</w:t>
            </w:r>
          </w:p>
        </w:tc>
        <w:tc>
          <w:tcPr>
            <w:tcW w:w="1164" w:type="dxa"/>
            <w:gridSpan w:val="2"/>
            <w:vAlign w:val="center"/>
          </w:tcPr>
          <w:p w14:paraId="570DAB29">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类型</w:t>
            </w:r>
          </w:p>
        </w:tc>
        <w:tc>
          <w:tcPr>
            <w:tcW w:w="6794" w:type="dxa"/>
            <w:gridSpan w:val="13"/>
            <w:vAlign w:val="center"/>
          </w:tcPr>
          <w:p w14:paraId="426C33D6">
            <w:pPr>
              <w:widowControl/>
              <w:spacing w:line="240" w:lineRule="auto"/>
              <w:rPr>
                <w:rFonts w:ascii="Times New Roman" w:hAnsi="Times New Roman"/>
                <w:sz w:val="18"/>
                <w:szCs w:val="18"/>
              </w:rPr>
            </w:pPr>
            <w:r>
              <w:rPr>
                <w:rFonts w:ascii="Times New Roman" w:hAnsi="Times New Roman"/>
                <w:sz w:val="18"/>
                <w:szCs w:val="18"/>
              </w:rPr>
              <w:t>□</w:t>
            </w:r>
            <w:r>
              <w:rPr>
                <w:rFonts w:hint="eastAsia" w:ascii="Times New Roman" w:hAnsi="Times New Roman"/>
                <w:sz w:val="18"/>
                <w:szCs w:val="18"/>
              </w:rPr>
              <w:t>矿山</w:t>
            </w:r>
            <w:r>
              <w:rPr>
                <w:rFonts w:ascii="Times New Roman" w:hAnsi="Times New Roman"/>
                <w:sz w:val="18"/>
                <w:szCs w:val="18"/>
                <w:u w:val="single"/>
              </w:rPr>
              <w:t xml:space="preserve">   </w:t>
            </w:r>
            <w:r>
              <w:rPr>
                <w:rFonts w:ascii="Times New Roman" w:hAnsi="Times New Roman"/>
                <w:sz w:val="18"/>
                <w:szCs w:val="18"/>
              </w:rPr>
              <w:t>座  □</w:t>
            </w:r>
            <w:r>
              <w:rPr>
                <w:rFonts w:hint="eastAsia" w:ascii="Times New Roman" w:hAnsi="Times New Roman"/>
                <w:sz w:val="18"/>
                <w:szCs w:val="18"/>
              </w:rPr>
              <w:t>在建水利工程</w:t>
            </w:r>
            <w:r>
              <w:rPr>
                <w:rFonts w:ascii="Times New Roman" w:hAnsi="Times New Roman"/>
                <w:sz w:val="18"/>
                <w:szCs w:val="18"/>
                <w:u w:val="single"/>
              </w:rPr>
              <w:t xml:space="preserve">   </w:t>
            </w:r>
            <w:r>
              <w:rPr>
                <w:rFonts w:ascii="Times New Roman" w:hAnsi="Times New Roman"/>
                <w:sz w:val="18"/>
                <w:szCs w:val="18"/>
              </w:rPr>
              <w:t>座  □</w:t>
            </w:r>
            <w:r>
              <w:rPr>
                <w:rFonts w:hint="eastAsia" w:ascii="Times New Roman" w:hAnsi="Times New Roman"/>
                <w:sz w:val="18"/>
                <w:szCs w:val="18"/>
              </w:rPr>
              <w:t>在建交通工程</w:t>
            </w:r>
            <w:r>
              <w:rPr>
                <w:rFonts w:ascii="Times New Roman" w:hAnsi="Times New Roman"/>
                <w:sz w:val="18"/>
                <w:szCs w:val="18"/>
                <w:u w:val="single"/>
              </w:rPr>
              <w:t xml:space="preserve">   </w:t>
            </w:r>
            <w:r>
              <w:rPr>
                <w:rFonts w:ascii="Times New Roman" w:hAnsi="Times New Roman"/>
                <w:sz w:val="18"/>
                <w:szCs w:val="18"/>
              </w:rPr>
              <w:t>m  □其他：</w:t>
            </w:r>
            <w:r>
              <w:rPr>
                <w:rFonts w:ascii="Times New Roman" w:hAnsi="Times New Roman"/>
                <w:sz w:val="18"/>
                <w:szCs w:val="18"/>
                <w:u w:val="single"/>
              </w:rPr>
              <w:t xml:space="preserve">       </w:t>
            </w:r>
          </w:p>
        </w:tc>
      </w:tr>
      <w:tr w14:paraId="18201D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1" w:hRule="atLeast"/>
          <w:jc w:val="center"/>
        </w:trPr>
        <w:tc>
          <w:tcPr>
            <w:tcW w:w="1203" w:type="dxa"/>
            <w:vMerge w:val="continue"/>
            <w:vAlign w:val="center"/>
          </w:tcPr>
          <w:p w14:paraId="3D13B73B">
            <w:pPr>
              <w:widowControl/>
              <w:spacing w:line="240" w:lineRule="auto"/>
              <w:jc w:val="center"/>
              <w:rPr>
                <w:rFonts w:ascii="Times New Roman" w:hAnsi="Times New Roman"/>
                <w:sz w:val="18"/>
                <w:szCs w:val="18"/>
              </w:rPr>
            </w:pPr>
          </w:p>
        </w:tc>
        <w:tc>
          <w:tcPr>
            <w:tcW w:w="1164" w:type="dxa"/>
            <w:gridSpan w:val="2"/>
            <w:vAlign w:val="center"/>
          </w:tcPr>
          <w:p w14:paraId="38691C17">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受威胁价值</w:t>
            </w:r>
          </w:p>
          <w:p w14:paraId="33676709">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（万元））</w:t>
            </w:r>
          </w:p>
        </w:tc>
        <w:tc>
          <w:tcPr>
            <w:tcW w:w="6794" w:type="dxa"/>
            <w:gridSpan w:val="13"/>
            <w:vAlign w:val="center"/>
          </w:tcPr>
          <w:p w14:paraId="20E8A574">
            <w:pPr>
              <w:widowControl/>
              <w:spacing w:line="240" w:lineRule="auto"/>
              <w:jc w:val="center"/>
              <w:rPr>
                <w:rFonts w:ascii="Times New Roman" w:hAnsi="Times New Roman"/>
                <w:sz w:val="18"/>
                <w:szCs w:val="18"/>
              </w:rPr>
            </w:pPr>
          </w:p>
        </w:tc>
      </w:tr>
      <w:tr w14:paraId="10ED1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33" w:hRule="atLeast"/>
          <w:jc w:val="center"/>
        </w:trPr>
        <w:tc>
          <w:tcPr>
            <w:tcW w:w="1203" w:type="dxa"/>
            <w:vAlign w:val="center"/>
          </w:tcPr>
          <w:p w14:paraId="230BE625">
            <w:pPr>
              <w:widowControl/>
              <w:tabs>
                <w:tab w:val="left" w:pos="363"/>
              </w:tabs>
              <w:spacing w:line="240" w:lineRule="auto"/>
              <w:jc w:val="center"/>
              <w:rPr>
                <w:rFonts w:ascii="Times New Roman" w:hAnsi="Times New Roman"/>
                <w:sz w:val="18"/>
                <w:szCs w:val="18"/>
              </w:rPr>
            </w:pPr>
            <w:r>
              <w:rPr>
                <w:rFonts w:ascii="Times New Roman" w:hAnsi="Times New Roman"/>
                <w:sz w:val="18"/>
                <w:szCs w:val="18"/>
              </w:rPr>
              <w:t>备注</w:t>
            </w:r>
          </w:p>
        </w:tc>
        <w:tc>
          <w:tcPr>
            <w:tcW w:w="7958" w:type="dxa"/>
            <w:gridSpan w:val="15"/>
            <w:vAlign w:val="center"/>
          </w:tcPr>
          <w:p w14:paraId="1A88E605">
            <w:pPr>
              <w:widowControl/>
              <w:spacing w:line="240" w:lineRule="auto"/>
              <w:jc w:val="center"/>
              <w:rPr>
                <w:rFonts w:ascii="Times New Roman" w:hAnsi="Times New Roman"/>
                <w:sz w:val="18"/>
                <w:szCs w:val="18"/>
              </w:rPr>
            </w:pPr>
          </w:p>
        </w:tc>
      </w:tr>
    </w:tbl>
    <w:p w14:paraId="66BF4D89">
      <w:pPr>
        <w:pStyle w:val="58"/>
        <w:ind w:firstLine="360"/>
      </w:pPr>
      <w:r>
        <w:rPr>
          <w:rFonts w:ascii="Times New Roman"/>
          <w:sz w:val="18"/>
          <w:szCs w:val="18"/>
        </w:rPr>
        <w:t>记    录：            校    核：           项目负责：             填表日期：      年     月     日</w:t>
      </w:r>
    </w:p>
    <w:p w14:paraId="4A6F2859">
      <w:pPr>
        <w:pStyle w:val="58"/>
        <w:ind w:firstLine="420"/>
      </w:pPr>
    </w:p>
    <w:p w14:paraId="53B7F251">
      <w:pPr>
        <w:pStyle w:val="58"/>
        <w:ind w:firstLine="420"/>
      </w:pPr>
    </w:p>
    <w:p w14:paraId="0C353F98">
      <w:pPr>
        <w:pStyle w:val="58"/>
        <w:ind w:firstLine="420"/>
      </w:pPr>
    </w:p>
    <w:p w14:paraId="11ED991A">
      <w:pPr>
        <w:pStyle w:val="200"/>
        <w:rPr>
          <w:vanish w:val="0"/>
        </w:rPr>
      </w:pPr>
    </w:p>
    <w:p w14:paraId="7E619821">
      <w:pPr>
        <w:pStyle w:val="201"/>
        <w:rPr>
          <w:vanish w:val="0"/>
        </w:rPr>
      </w:pPr>
    </w:p>
    <w:p w14:paraId="576E069F">
      <w:pPr>
        <w:pStyle w:val="78"/>
        <w:spacing w:after="156"/>
      </w:pPr>
      <w:r>
        <w:br w:type="textWrapping"/>
      </w:r>
      <w:bookmarkStart w:id="302" w:name="_Toc178172369"/>
      <w:bookmarkStart w:id="303" w:name="_Toc176194165"/>
      <w:r>
        <w:rPr>
          <w:rFonts w:hint="eastAsia"/>
        </w:rPr>
        <w:t>（资料性）</w:t>
      </w:r>
      <w:r>
        <w:br w:type="textWrapping"/>
      </w:r>
      <w:r>
        <w:rPr>
          <w:rFonts w:hint="eastAsia"/>
        </w:rPr>
        <w:t>岩土体测试项目及成果参数表</w:t>
      </w:r>
      <w:bookmarkEnd w:id="302"/>
      <w:bookmarkEnd w:id="303"/>
    </w:p>
    <w:p w14:paraId="26EB1B2E">
      <w:pPr>
        <w:pStyle w:val="79"/>
        <w:spacing w:before="156" w:after="156"/>
      </w:pPr>
      <w:r>
        <w:rPr>
          <w:rFonts w:hint="eastAsia"/>
        </w:rPr>
        <w:t>土体测试项目及成果参数表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1"/>
        <w:gridCol w:w="7643"/>
      </w:tblGrid>
      <w:tr w14:paraId="44FA74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tcPr>
          <w:p w14:paraId="0FF8FB3B">
            <w:pPr>
              <w:pStyle w:val="180"/>
            </w:pPr>
            <w:r>
              <w:rPr>
                <w:rFonts w:hint="eastAsia"/>
              </w:rPr>
              <w:t>试验项目</w:t>
            </w:r>
          </w:p>
        </w:tc>
        <w:tc>
          <w:tcPr>
            <w:tcW w:w="7643" w:type="dxa"/>
            <w:tcBorders>
              <w:top w:val="single" w:color="auto" w:sz="8" w:space="0"/>
              <w:bottom w:val="single" w:color="auto" w:sz="8" w:space="0"/>
            </w:tcBorders>
            <w:shd w:val="clear" w:color="auto" w:fill="auto"/>
          </w:tcPr>
          <w:p w14:paraId="5DCAB7CF">
            <w:pPr>
              <w:pStyle w:val="180"/>
            </w:pPr>
            <w:r>
              <w:rPr>
                <w:rFonts w:hint="eastAsia"/>
              </w:rPr>
              <w:t>主要参数及单位</w:t>
            </w:r>
          </w:p>
        </w:tc>
      </w:tr>
      <w:tr w14:paraId="13AB46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tcBorders>
              <w:top w:val="single" w:color="auto" w:sz="8" w:space="0"/>
            </w:tcBorders>
            <w:shd w:val="clear" w:color="auto" w:fill="auto"/>
          </w:tcPr>
          <w:p w14:paraId="5764F4E0">
            <w:pPr>
              <w:pStyle w:val="180"/>
            </w:pPr>
            <w:r>
              <w:rPr>
                <w:rFonts w:hint="eastAsia"/>
              </w:rPr>
              <w:t>含水率试验</w:t>
            </w:r>
          </w:p>
        </w:tc>
        <w:tc>
          <w:tcPr>
            <w:tcW w:w="7643" w:type="dxa"/>
            <w:tcBorders>
              <w:top w:val="single" w:color="auto" w:sz="8" w:space="0"/>
            </w:tcBorders>
            <w:shd w:val="clear" w:color="auto" w:fill="auto"/>
            <w:vAlign w:val="center"/>
          </w:tcPr>
          <w:p w14:paraId="57131F79">
            <w:pPr>
              <w:pStyle w:val="180"/>
            </w:pPr>
            <w:r>
              <w:rPr>
                <w:rFonts w:ascii="Times New Roman"/>
                <w:bCs/>
                <w:szCs w:val="18"/>
              </w:rPr>
              <w:t>含水率</w:t>
            </w:r>
            <w:r>
              <w:rPr>
                <w:rFonts w:ascii="Times New Roman"/>
                <w:bCs/>
                <w:i/>
                <w:iCs/>
                <w:szCs w:val="18"/>
              </w:rPr>
              <w:t xml:space="preserve"> ω</w:t>
            </w:r>
            <w:r>
              <w:rPr>
                <w:rFonts w:ascii="Times New Roman"/>
                <w:bCs/>
                <w:szCs w:val="18"/>
              </w:rPr>
              <w:t>/%</w:t>
            </w:r>
          </w:p>
        </w:tc>
      </w:tr>
      <w:tr w14:paraId="2AB96A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2CBFDC55">
            <w:pPr>
              <w:pStyle w:val="180"/>
            </w:pPr>
            <w:r>
              <w:rPr>
                <w:rFonts w:hint="eastAsia"/>
              </w:rPr>
              <w:t>密度试验</w:t>
            </w:r>
          </w:p>
        </w:tc>
        <w:tc>
          <w:tcPr>
            <w:tcW w:w="7643" w:type="dxa"/>
            <w:shd w:val="clear" w:color="auto" w:fill="auto"/>
            <w:vAlign w:val="center"/>
          </w:tcPr>
          <w:p w14:paraId="57747BAC">
            <w:pPr>
              <w:pStyle w:val="180"/>
            </w:pPr>
            <w:r>
              <w:rPr>
                <w:rFonts w:ascii="Times New Roman"/>
                <w:bCs/>
                <w:szCs w:val="18"/>
              </w:rPr>
              <w:t xml:space="preserve">密度 </w:t>
            </w:r>
            <w:r>
              <w:rPr>
                <w:rFonts w:ascii="Times New Roman"/>
                <w:bCs/>
                <w:i/>
                <w:iCs/>
                <w:szCs w:val="18"/>
              </w:rPr>
              <w:t>ρ</w:t>
            </w:r>
            <w:r>
              <w:rPr>
                <w:rFonts w:ascii="Times New Roman"/>
                <w:bCs/>
                <w:szCs w:val="18"/>
              </w:rPr>
              <w:t>/(g/cm</w:t>
            </w:r>
            <w:r>
              <w:rPr>
                <w:rFonts w:ascii="Times New Roman"/>
                <w:bCs/>
                <w:szCs w:val="18"/>
                <w:vertAlign w:val="superscript"/>
              </w:rPr>
              <w:t>3</w:t>
            </w:r>
            <w:r>
              <w:rPr>
                <w:rFonts w:ascii="Times New Roman"/>
                <w:bCs/>
                <w:szCs w:val="18"/>
              </w:rPr>
              <w:t>)</w:t>
            </w:r>
          </w:p>
        </w:tc>
      </w:tr>
      <w:tr w14:paraId="6AFBFA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263E259F">
            <w:pPr>
              <w:pStyle w:val="180"/>
            </w:pPr>
            <w:r>
              <w:rPr>
                <w:rFonts w:hint="eastAsia"/>
              </w:rPr>
              <w:t>土粒相对密度试验</w:t>
            </w:r>
          </w:p>
        </w:tc>
        <w:tc>
          <w:tcPr>
            <w:tcW w:w="7643" w:type="dxa"/>
            <w:shd w:val="clear" w:color="auto" w:fill="auto"/>
            <w:vAlign w:val="center"/>
          </w:tcPr>
          <w:p w14:paraId="39361622">
            <w:pPr>
              <w:pStyle w:val="180"/>
            </w:pPr>
            <w:r>
              <w:rPr>
                <w:rFonts w:ascii="Times New Roman"/>
                <w:bCs/>
                <w:szCs w:val="18"/>
              </w:rPr>
              <w:t>比重</w:t>
            </w:r>
            <w:r>
              <w:rPr>
                <w:rFonts w:ascii="Times New Roman"/>
                <w:bCs/>
                <w:i/>
                <w:iCs/>
                <w:szCs w:val="18"/>
              </w:rPr>
              <w:t xml:space="preserve"> Gs</w:t>
            </w:r>
          </w:p>
        </w:tc>
      </w:tr>
      <w:tr w14:paraId="3F142F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5FBB8824">
            <w:pPr>
              <w:pStyle w:val="180"/>
            </w:pPr>
            <w:r>
              <w:rPr>
                <w:rFonts w:hint="eastAsia"/>
              </w:rPr>
              <w:t>颗粒分析试验</w:t>
            </w:r>
          </w:p>
        </w:tc>
        <w:tc>
          <w:tcPr>
            <w:tcW w:w="7643" w:type="dxa"/>
            <w:shd w:val="clear" w:color="auto" w:fill="auto"/>
            <w:vAlign w:val="center"/>
          </w:tcPr>
          <w:p w14:paraId="3862BDB2">
            <w:pPr>
              <w:pStyle w:val="180"/>
            </w:pPr>
            <w:r>
              <w:rPr>
                <w:rFonts w:ascii="Times New Roman"/>
                <w:bCs/>
                <w:szCs w:val="18"/>
              </w:rPr>
              <w:t>不均匀系数</w:t>
            </w:r>
            <w:r>
              <w:rPr>
                <w:rFonts w:ascii="Times New Roman"/>
                <w:bCs/>
                <w:i/>
                <w:iCs/>
                <w:szCs w:val="18"/>
              </w:rPr>
              <w:t xml:space="preserve"> Cu</w:t>
            </w:r>
            <w:r>
              <w:rPr>
                <w:rFonts w:ascii="Times New Roman"/>
                <w:bCs/>
                <w:szCs w:val="18"/>
              </w:rPr>
              <w:t>、曲率系数</w:t>
            </w:r>
            <w:r>
              <w:rPr>
                <w:rFonts w:ascii="Times New Roman"/>
                <w:bCs/>
                <w:i/>
                <w:iCs/>
                <w:szCs w:val="18"/>
              </w:rPr>
              <w:t xml:space="preserve"> Cc</w:t>
            </w:r>
            <w:r>
              <w:rPr>
                <w:rFonts w:ascii="Times New Roman"/>
                <w:bCs/>
                <w:szCs w:val="18"/>
              </w:rPr>
              <w:t>、黏粒含量</w:t>
            </w:r>
            <w:r>
              <w:rPr>
                <w:rFonts w:ascii="Times New Roman"/>
                <w:bCs/>
                <w:i/>
                <w:iCs/>
                <w:szCs w:val="18"/>
              </w:rPr>
              <w:t xml:space="preserve"> Mc</w:t>
            </w:r>
          </w:p>
        </w:tc>
      </w:tr>
      <w:tr w14:paraId="13E6E1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477D927">
            <w:pPr>
              <w:pStyle w:val="180"/>
            </w:pPr>
            <w:r>
              <w:rPr>
                <w:rFonts w:hint="eastAsia"/>
              </w:rPr>
              <w:t>界限含水率试验</w:t>
            </w:r>
          </w:p>
        </w:tc>
        <w:tc>
          <w:tcPr>
            <w:tcW w:w="7643" w:type="dxa"/>
            <w:shd w:val="clear" w:color="auto" w:fill="auto"/>
            <w:vAlign w:val="center"/>
          </w:tcPr>
          <w:p w14:paraId="04D253D6">
            <w:pPr>
              <w:pStyle w:val="180"/>
            </w:pPr>
            <w:r>
              <w:rPr>
                <w:rFonts w:ascii="Times New Roman"/>
                <w:bCs/>
                <w:szCs w:val="18"/>
              </w:rPr>
              <w:t>液限</w:t>
            </w:r>
            <w:r>
              <w:rPr>
                <w:rFonts w:ascii="Times New Roman"/>
                <w:bCs/>
                <w:i/>
                <w:iCs/>
                <w:szCs w:val="18"/>
              </w:rPr>
              <w:t xml:space="preserve"> ωL</w:t>
            </w:r>
            <w:r>
              <w:rPr>
                <w:rFonts w:ascii="Times New Roman"/>
                <w:bCs/>
                <w:szCs w:val="18"/>
              </w:rPr>
              <w:t>/%、塑限</w:t>
            </w:r>
            <w:r>
              <w:rPr>
                <w:rFonts w:ascii="Times New Roman"/>
                <w:bCs/>
                <w:i/>
                <w:iCs/>
                <w:szCs w:val="18"/>
              </w:rPr>
              <w:t xml:space="preserve"> ωP/</w:t>
            </w:r>
            <w:r>
              <w:rPr>
                <w:rFonts w:ascii="Times New Roman"/>
                <w:bCs/>
                <w:szCs w:val="18"/>
              </w:rPr>
              <w:t>%、土的缩限</w:t>
            </w:r>
            <w:r>
              <w:rPr>
                <w:rFonts w:ascii="Times New Roman"/>
                <w:bCs/>
                <w:i/>
                <w:iCs/>
                <w:szCs w:val="18"/>
              </w:rPr>
              <w:t xml:space="preserve"> ωn</w:t>
            </w:r>
            <w:r>
              <w:rPr>
                <w:rFonts w:ascii="Times New Roman"/>
                <w:bCs/>
                <w:szCs w:val="18"/>
              </w:rPr>
              <w:t>/%</w:t>
            </w:r>
          </w:p>
        </w:tc>
      </w:tr>
      <w:tr w14:paraId="26A7BC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1B6E8420">
            <w:pPr>
              <w:pStyle w:val="180"/>
            </w:pPr>
            <w:r>
              <w:rPr>
                <w:rFonts w:hint="eastAsia"/>
              </w:rPr>
              <w:t>砂的相对密度试验</w:t>
            </w:r>
          </w:p>
        </w:tc>
        <w:tc>
          <w:tcPr>
            <w:tcW w:w="7643" w:type="dxa"/>
            <w:shd w:val="clear" w:color="auto" w:fill="auto"/>
            <w:vAlign w:val="center"/>
          </w:tcPr>
          <w:p w14:paraId="79CF7426">
            <w:pPr>
              <w:pStyle w:val="180"/>
            </w:pPr>
            <w:r>
              <w:rPr>
                <w:rFonts w:ascii="Times New Roman"/>
                <w:bCs/>
                <w:szCs w:val="18"/>
              </w:rPr>
              <w:t>相对密实度</w:t>
            </w:r>
            <w:r>
              <w:rPr>
                <w:rFonts w:ascii="Times New Roman"/>
                <w:bCs/>
                <w:i/>
                <w:iCs/>
                <w:szCs w:val="18"/>
              </w:rPr>
              <w:t xml:space="preserve"> Dr</w:t>
            </w:r>
          </w:p>
        </w:tc>
      </w:tr>
      <w:tr w14:paraId="470C84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BEFE8C3">
            <w:pPr>
              <w:pStyle w:val="180"/>
            </w:pPr>
            <w:r>
              <w:rPr>
                <w:rFonts w:hint="eastAsia"/>
              </w:rPr>
              <w:t>击实试验</w:t>
            </w:r>
          </w:p>
        </w:tc>
        <w:tc>
          <w:tcPr>
            <w:tcW w:w="7643" w:type="dxa"/>
            <w:shd w:val="clear" w:color="auto" w:fill="auto"/>
            <w:vAlign w:val="center"/>
          </w:tcPr>
          <w:p w14:paraId="0DC12DF3">
            <w:pPr>
              <w:pStyle w:val="180"/>
            </w:pPr>
            <w:r>
              <w:rPr>
                <w:rFonts w:ascii="Times New Roman"/>
                <w:bCs/>
                <w:szCs w:val="18"/>
              </w:rPr>
              <w:t xml:space="preserve">干密度 </w:t>
            </w:r>
            <w:r>
              <w:rPr>
                <w:rFonts w:ascii="Times New Roman"/>
                <w:bCs/>
                <w:i/>
                <w:iCs/>
                <w:szCs w:val="18"/>
              </w:rPr>
              <w:t>ρd/</w:t>
            </w:r>
            <w:r>
              <w:rPr>
                <w:rFonts w:ascii="Times New Roman"/>
                <w:bCs/>
                <w:szCs w:val="18"/>
              </w:rPr>
              <w:t>(g/cm</w:t>
            </w:r>
            <w:r>
              <w:rPr>
                <w:rFonts w:ascii="Times New Roman"/>
                <w:bCs/>
                <w:szCs w:val="18"/>
                <w:vertAlign w:val="superscript"/>
              </w:rPr>
              <w:t>3</w:t>
            </w:r>
            <w:r>
              <w:rPr>
                <w:rFonts w:ascii="Times New Roman"/>
                <w:bCs/>
                <w:szCs w:val="18"/>
              </w:rPr>
              <w:t>)</w:t>
            </w:r>
          </w:p>
        </w:tc>
      </w:tr>
      <w:tr w14:paraId="2E5519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463444C4">
            <w:pPr>
              <w:pStyle w:val="180"/>
            </w:pPr>
            <w:r>
              <w:rPr>
                <w:rFonts w:hint="eastAsia"/>
              </w:rPr>
              <w:t>承载比试验</w:t>
            </w:r>
          </w:p>
        </w:tc>
        <w:tc>
          <w:tcPr>
            <w:tcW w:w="7643" w:type="dxa"/>
            <w:shd w:val="clear" w:color="auto" w:fill="auto"/>
            <w:vAlign w:val="center"/>
          </w:tcPr>
          <w:p w14:paraId="5E3EE7F2">
            <w:pPr>
              <w:pStyle w:val="180"/>
            </w:pPr>
            <w:r>
              <w:rPr>
                <w:rFonts w:ascii="Times New Roman"/>
                <w:bCs/>
                <w:szCs w:val="18"/>
              </w:rPr>
              <w:t xml:space="preserve">承载比 </w:t>
            </w:r>
            <w:r>
              <w:rPr>
                <w:rFonts w:ascii="Times New Roman"/>
                <w:bCs/>
                <w:i/>
                <w:iCs/>
                <w:szCs w:val="18"/>
              </w:rPr>
              <w:t>CBR</w:t>
            </w:r>
            <w:r>
              <w:rPr>
                <w:rFonts w:ascii="Times New Roman"/>
                <w:bCs/>
                <w:szCs w:val="18"/>
              </w:rPr>
              <w:t>/%</w:t>
            </w:r>
          </w:p>
        </w:tc>
      </w:tr>
      <w:tr w14:paraId="4F3A0C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11BEA8F3">
            <w:pPr>
              <w:pStyle w:val="180"/>
            </w:pPr>
            <w:r>
              <w:rPr>
                <w:rFonts w:hint="eastAsia"/>
              </w:rPr>
              <w:t>回弹模量试验</w:t>
            </w:r>
          </w:p>
        </w:tc>
        <w:tc>
          <w:tcPr>
            <w:tcW w:w="7643" w:type="dxa"/>
            <w:shd w:val="clear" w:color="auto" w:fill="auto"/>
            <w:vAlign w:val="center"/>
          </w:tcPr>
          <w:p w14:paraId="5A642707">
            <w:pPr>
              <w:pStyle w:val="180"/>
            </w:pPr>
            <w:r>
              <w:rPr>
                <w:rFonts w:ascii="Times New Roman"/>
                <w:bCs/>
                <w:szCs w:val="18"/>
              </w:rPr>
              <w:t xml:space="preserve">回弹模量 </w:t>
            </w:r>
            <w:r>
              <w:rPr>
                <w:rFonts w:ascii="Times New Roman"/>
                <w:bCs/>
                <w:i/>
                <w:iCs/>
                <w:szCs w:val="18"/>
              </w:rPr>
              <w:t>Ec</w:t>
            </w:r>
            <w:r>
              <w:rPr>
                <w:rFonts w:ascii="Times New Roman"/>
                <w:bCs/>
                <w:szCs w:val="18"/>
              </w:rPr>
              <w:t>/(kPa)</w:t>
            </w:r>
          </w:p>
        </w:tc>
      </w:tr>
      <w:tr w14:paraId="589615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101B68E">
            <w:pPr>
              <w:pStyle w:val="180"/>
            </w:pPr>
            <w:r>
              <w:rPr>
                <w:rFonts w:hint="eastAsia"/>
              </w:rPr>
              <w:t>渗透试验</w:t>
            </w:r>
          </w:p>
        </w:tc>
        <w:tc>
          <w:tcPr>
            <w:tcW w:w="7643" w:type="dxa"/>
            <w:shd w:val="clear" w:color="auto" w:fill="auto"/>
            <w:vAlign w:val="center"/>
          </w:tcPr>
          <w:p w14:paraId="39C513D1">
            <w:pPr>
              <w:pStyle w:val="180"/>
            </w:pPr>
            <w:r>
              <w:rPr>
                <w:rFonts w:ascii="Times New Roman"/>
                <w:bCs/>
                <w:szCs w:val="18"/>
              </w:rPr>
              <w:t xml:space="preserve">渗透系数 </w:t>
            </w:r>
            <w:r>
              <w:rPr>
                <w:rFonts w:ascii="Times New Roman"/>
                <w:bCs/>
                <w:i/>
                <w:iCs/>
                <w:szCs w:val="18"/>
              </w:rPr>
              <w:t>k</w:t>
            </w:r>
            <w:r>
              <w:rPr>
                <w:rFonts w:ascii="Times New Roman"/>
                <w:bCs/>
                <w:szCs w:val="18"/>
              </w:rPr>
              <w:t>/(cm/s)</w:t>
            </w:r>
          </w:p>
        </w:tc>
      </w:tr>
      <w:tr w14:paraId="596D9A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10C5218F">
            <w:pPr>
              <w:pStyle w:val="180"/>
            </w:pPr>
            <w:r>
              <w:rPr>
                <w:rFonts w:hint="eastAsia"/>
              </w:rPr>
              <w:t>固结试验</w:t>
            </w:r>
          </w:p>
        </w:tc>
        <w:tc>
          <w:tcPr>
            <w:tcW w:w="7643" w:type="dxa"/>
            <w:shd w:val="clear" w:color="auto" w:fill="auto"/>
            <w:vAlign w:val="center"/>
          </w:tcPr>
          <w:p w14:paraId="75A516EE">
            <w:pPr>
              <w:pStyle w:val="180"/>
            </w:pPr>
            <w:r>
              <w:rPr>
                <w:rFonts w:ascii="Times New Roman"/>
                <w:bCs/>
                <w:szCs w:val="18"/>
              </w:rPr>
              <w:t xml:space="preserve">孔隙比 </w:t>
            </w:r>
            <w:r>
              <w:rPr>
                <w:rFonts w:ascii="Times New Roman"/>
                <w:bCs/>
                <w:i/>
                <w:iCs/>
                <w:szCs w:val="18"/>
              </w:rPr>
              <w:t xml:space="preserve"> e</w:t>
            </w:r>
            <w:r>
              <w:rPr>
                <w:rFonts w:ascii="Times New Roman"/>
                <w:bCs/>
                <w:szCs w:val="18"/>
              </w:rPr>
              <w:t xml:space="preserve">；压缩系数  </w:t>
            </w:r>
            <w:r>
              <w:rPr>
                <w:rFonts w:ascii="Times New Roman"/>
                <w:bCs/>
                <w:i/>
                <w:iCs/>
                <w:szCs w:val="18"/>
              </w:rPr>
              <w:t>av</w:t>
            </w:r>
            <w:r>
              <w:rPr>
                <w:rFonts w:ascii="Times New Roman"/>
                <w:bCs/>
                <w:szCs w:val="18"/>
              </w:rPr>
              <w:t>/MPa</w:t>
            </w:r>
            <w:r>
              <w:rPr>
                <w:rFonts w:ascii="Times New Roman"/>
                <w:bCs/>
                <w:szCs w:val="18"/>
                <w:vertAlign w:val="superscript"/>
              </w:rPr>
              <w:t>-1</w:t>
            </w:r>
            <w:r>
              <w:rPr>
                <w:rFonts w:ascii="Times New Roman"/>
                <w:bCs/>
                <w:szCs w:val="18"/>
              </w:rPr>
              <w:t xml:space="preserve">，体积压缩系数 </w:t>
            </w:r>
            <w:r>
              <w:rPr>
                <w:rFonts w:ascii="Times New Roman"/>
                <w:bCs/>
                <w:i/>
                <w:iCs/>
                <w:szCs w:val="18"/>
              </w:rPr>
              <w:t>mv</w:t>
            </w:r>
            <w:r>
              <w:rPr>
                <w:rFonts w:ascii="Times New Roman"/>
                <w:bCs/>
                <w:szCs w:val="18"/>
              </w:rPr>
              <w:t>/MPa</w:t>
            </w:r>
            <w:r>
              <w:rPr>
                <w:rFonts w:ascii="Times New Roman"/>
                <w:bCs/>
                <w:szCs w:val="18"/>
                <w:vertAlign w:val="superscript"/>
              </w:rPr>
              <w:t>-1</w:t>
            </w:r>
            <w:r>
              <w:rPr>
                <w:rFonts w:ascii="Times New Roman"/>
                <w:bCs/>
                <w:szCs w:val="18"/>
              </w:rPr>
              <w:t xml:space="preserve">；压缩模量   </w:t>
            </w:r>
            <w:r>
              <w:rPr>
                <w:rFonts w:ascii="Times New Roman"/>
                <w:bCs/>
                <w:i/>
                <w:iCs/>
                <w:szCs w:val="18"/>
              </w:rPr>
              <w:t>Es</w:t>
            </w:r>
            <w:r>
              <w:rPr>
                <w:rFonts w:ascii="Times New Roman"/>
                <w:bCs/>
                <w:szCs w:val="18"/>
              </w:rPr>
              <w:t xml:space="preserve">/ MPa，回弹模量 </w:t>
            </w:r>
            <w:r>
              <w:rPr>
                <w:rFonts w:ascii="Times New Roman"/>
                <w:bCs/>
                <w:i/>
                <w:iCs/>
                <w:szCs w:val="18"/>
              </w:rPr>
              <w:t>Ec</w:t>
            </w:r>
            <w:r>
              <w:rPr>
                <w:rFonts w:ascii="Times New Roman"/>
                <w:bCs/>
                <w:szCs w:val="18"/>
              </w:rPr>
              <w:t xml:space="preserve">/MPa；压缩指数 </w:t>
            </w:r>
            <w:r>
              <w:rPr>
                <w:rFonts w:ascii="Times New Roman"/>
                <w:bCs/>
                <w:i/>
                <w:iCs/>
                <w:szCs w:val="18"/>
              </w:rPr>
              <w:t>Cc</w:t>
            </w:r>
            <w:r>
              <w:rPr>
                <w:rFonts w:ascii="Times New Roman"/>
                <w:bCs/>
                <w:szCs w:val="18"/>
              </w:rPr>
              <w:t>和回弹指数</w:t>
            </w:r>
            <w:r>
              <w:rPr>
                <w:rFonts w:ascii="Times New Roman"/>
                <w:bCs/>
                <w:i/>
                <w:iCs/>
                <w:szCs w:val="18"/>
              </w:rPr>
              <w:t xml:space="preserve"> Cs</w:t>
            </w:r>
            <w:r>
              <w:rPr>
                <w:rFonts w:ascii="Times New Roman"/>
                <w:bCs/>
                <w:szCs w:val="18"/>
              </w:rPr>
              <w:t xml:space="preserve">；固结系数 </w:t>
            </w:r>
            <w:r>
              <w:rPr>
                <w:rFonts w:ascii="Times New Roman"/>
                <w:bCs/>
                <w:i/>
                <w:iCs/>
                <w:szCs w:val="18"/>
              </w:rPr>
              <w:t>Cv</w:t>
            </w:r>
            <w:r>
              <w:rPr>
                <w:rFonts w:ascii="Times New Roman"/>
                <w:bCs/>
                <w:szCs w:val="18"/>
              </w:rPr>
              <w:t>/(cm</w:t>
            </w:r>
            <w:r>
              <w:rPr>
                <w:rFonts w:ascii="Times New Roman"/>
                <w:bCs/>
                <w:szCs w:val="18"/>
                <w:vertAlign w:val="superscript"/>
              </w:rPr>
              <w:t>2</w:t>
            </w:r>
            <w:r>
              <w:rPr>
                <w:rFonts w:ascii="Times New Roman"/>
                <w:bCs/>
                <w:szCs w:val="18"/>
              </w:rPr>
              <w:t>/s)</w:t>
            </w:r>
          </w:p>
        </w:tc>
      </w:tr>
      <w:tr w14:paraId="1D38B3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5CC18C8A">
            <w:pPr>
              <w:pStyle w:val="180"/>
            </w:pPr>
            <w:r>
              <w:rPr>
                <w:rFonts w:hint="eastAsia"/>
              </w:rPr>
              <w:t>黄土湿陷试验</w:t>
            </w:r>
          </w:p>
        </w:tc>
        <w:tc>
          <w:tcPr>
            <w:tcW w:w="7643" w:type="dxa"/>
            <w:shd w:val="clear" w:color="auto" w:fill="auto"/>
            <w:vAlign w:val="center"/>
          </w:tcPr>
          <w:p w14:paraId="08396733">
            <w:pPr>
              <w:pStyle w:val="180"/>
            </w:pPr>
            <w:r>
              <w:rPr>
                <w:rFonts w:ascii="Times New Roman"/>
                <w:bCs/>
                <w:szCs w:val="18"/>
              </w:rPr>
              <w:t>湿陷系数</w:t>
            </w:r>
            <w:r>
              <w:rPr>
                <w:rFonts w:ascii="Times New Roman"/>
                <w:bCs/>
                <w:i/>
                <w:iCs/>
                <w:szCs w:val="18"/>
              </w:rPr>
              <w:t xml:space="preserve"> δs</w:t>
            </w:r>
          </w:p>
        </w:tc>
      </w:tr>
      <w:tr w14:paraId="5F0C48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234DA9AE">
            <w:pPr>
              <w:pStyle w:val="180"/>
            </w:pPr>
            <w:r>
              <w:rPr>
                <w:rFonts w:hint="eastAsia"/>
              </w:rPr>
              <w:t>三轴压缩试验</w:t>
            </w:r>
          </w:p>
        </w:tc>
        <w:tc>
          <w:tcPr>
            <w:tcW w:w="7643" w:type="dxa"/>
            <w:shd w:val="clear" w:color="auto" w:fill="auto"/>
            <w:vAlign w:val="center"/>
          </w:tcPr>
          <w:p w14:paraId="7573302E">
            <w:pPr>
              <w:pStyle w:val="180"/>
            </w:pPr>
            <w:r>
              <w:rPr>
                <w:rFonts w:ascii="Times New Roman"/>
                <w:bCs/>
                <w:szCs w:val="18"/>
              </w:rPr>
              <w:t>内摩擦角</w:t>
            </w:r>
            <w:r>
              <w:rPr>
                <w:rFonts w:ascii="Times New Roman"/>
                <w:bCs/>
                <w:i/>
                <w:iCs/>
                <w:szCs w:val="18"/>
              </w:rPr>
              <w:t xml:space="preserve"> φuu</w:t>
            </w:r>
            <w:r>
              <w:rPr>
                <w:rFonts w:ascii="Times New Roman"/>
                <w:bCs/>
                <w:szCs w:val="18"/>
              </w:rPr>
              <w:t>/° ,有效内摩擦角</w:t>
            </w:r>
            <w:r>
              <w:rPr>
                <w:rFonts w:ascii="Times New Roman"/>
                <w:bCs/>
                <w:i/>
                <w:iCs/>
                <w:szCs w:val="18"/>
              </w:rPr>
              <w:t xml:space="preserve"> φ'</w:t>
            </w:r>
            <w:r>
              <w:rPr>
                <w:rFonts w:ascii="Times New Roman"/>
                <w:bCs/>
                <w:szCs w:val="18"/>
              </w:rPr>
              <w:t>/ ° , 总应力内摩擦角</w:t>
            </w:r>
            <w:r>
              <w:rPr>
                <w:rFonts w:ascii="Times New Roman"/>
                <w:bCs/>
                <w:i/>
                <w:iCs/>
                <w:szCs w:val="18"/>
              </w:rPr>
              <w:t xml:space="preserve"> φcu</w:t>
            </w:r>
            <w:r>
              <w:rPr>
                <w:rFonts w:ascii="Times New Roman"/>
                <w:bCs/>
                <w:szCs w:val="18"/>
              </w:rPr>
              <w:t xml:space="preserve">/ ° </w:t>
            </w:r>
            <w:r>
              <w:rPr>
                <w:rFonts w:hint="eastAsia" w:ascii="Times New Roman"/>
                <w:bCs/>
                <w:szCs w:val="18"/>
              </w:rPr>
              <w:t>;</w:t>
            </w:r>
            <w:r>
              <w:rPr>
                <w:rFonts w:ascii="Times New Roman"/>
                <w:bCs/>
                <w:szCs w:val="18"/>
              </w:rPr>
              <w:t xml:space="preserve"> 黏聚力</w:t>
            </w:r>
            <w:r>
              <w:rPr>
                <w:rFonts w:ascii="Times New Roman"/>
                <w:bCs/>
                <w:i/>
                <w:iCs/>
                <w:szCs w:val="18"/>
              </w:rPr>
              <w:t xml:space="preserve"> cuu</w:t>
            </w:r>
            <w:r>
              <w:rPr>
                <w:rFonts w:ascii="Times New Roman"/>
                <w:bCs/>
                <w:szCs w:val="18"/>
              </w:rPr>
              <w:t>/kPa，有效黏聚力</w:t>
            </w:r>
            <w:r>
              <w:rPr>
                <w:rFonts w:ascii="Times New Roman"/>
                <w:bCs/>
                <w:i/>
                <w:iCs/>
                <w:szCs w:val="18"/>
              </w:rPr>
              <w:t xml:space="preserve"> c'</w:t>
            </w:r>
            <w:r>
              <w:rPr>
                <w:rFonts w:ascii="Times New Roman"/>
                <w:bCs/>
                <w:szCs w:val="18"/>
              </w:rPr>
              <w:t>/kPa， 总应力黏聚力</w:t>
            </w:r>
            <w:r>
              <w:rPr>
                <w:rFonts w:ascii="Times New Roman"/>
                <w:bCs/>
                <w:i/>
                <w:iCs/>
                <w:szCs w:val="18"/>
              </w:rPr>
              <w:t xml:space="preserve"> ccu</w:t>
            </w:r>
            <w:r>
              <w:rPr>
                <w:rFonts w:ascii="Times New Roman"/>
                <w:bCs/>
                <w:szCs w:val="18"/>
              </w:rPr>
              <w:t>/kPa</w:t>
            </w:r>
          </w:p>
        </w:tc>
      </w:tr>
      <w:tr w14:paraId="122E17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5539BA6">
            <w:pPr>
              <w:pStyle w:val="180"/>
            </w:pPr>
            <w:r>
              <w:rPr>
                <w:rFonts w:hint="eastAsia"/>
              </w:rPr>
              <w:t>无侧限抗压强度试验</w:t>
            </w:r>
          </w:p>
        </w:tc>
        <w:tc>
          <w:tcPr>
            <w:tcW w:w="7643" w:type="dxa"/>
            <w:shd w:val="clear" w:color="auto" w:fill="auto"/>
            <w:vAlign w:val="center"/>
          </w:tcPr>
          <w:p w14:paraId="238721F2">
            <w:pPr>
              <w:pStyle w:val="180"/>
            </w:pPr>
            <w:r>
              <w:rPr>
                <w:rFonts w:ascii="Times New Roman"/>
                <w:bCs/>
                <w:szCs w:val="18"/>
              </w:rPr>
              <w:t>原状样抗压强度</w:t>
            </w:r>
            <w:r>
              <w:rPr>
                <w:rFonts w:ascii="Times New Roman"/>
                <w:bCs/>
                <w:i/>
                <w:iCs/>
                <w:szCs w:val="18"/>
              </w:rPr>
              <w:t xml:space="preserve"> qu</w:t>
            </w:r>
            <w:r>
              <w:rPr>
                <w:rFonts w:ascii="Times New Roman"/>
                <w:bCs/>
                <w:szCs w:val="18"/>
              </w:rPr>
              <w:t>/kPa，重塑样</w:t>
            </w:r>
            <w:r>
              <w:rPr>
                <w:rFonts w:ascii="Times New Roman"/>
                <w:bCs/>
                <w:i/>
                <w:iCs/>
                <w:szCs w:val="18"/>
              </w:rPr>
              <w:t xml:space="preserve"> q</w:t>
            </w:r>
            <w:r>
              <w:rPr>
                <w:rFonts w:ascii="Times New Roman"/>
                <w:bCs/>
                <w:szCs w:val="18"/>
              </w:rPr>
              <w:t>/kPa；灵敏度</w:t>
            </w:r>
            <w:r>
              <w:rPr>
                <w:rFonts w:ascii="Times New Roman"/>
                <w:bCs/>
                <w:i/>
                <w:iCs/>
                <w:szCs w:val="18"/>
              </w:rPr>
              <w:t xml:space="preserve"> S</w:t>
            </w:r>
          </w:p>
        </w:tc>
      </w:tr>
      <w:tr w14:paraId="3DEFC0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D46B57B">
            <w:pPr>
              <w:pStyle w:val="180"/>
            </w:pPr>
            <w:r>
              <w:rPr>
                <w:rFonts w:hint="eastAsia"/>
              </w:rPr>
              <w:t>直接剪切试验</w:t>
            </w:r>
          </w:p>
        </w:tc>
        <w:tc>
          <w:tcPr>
            <w:tcW w:w="7643" w:type="dxa"/>
            <w:shd w:val="clear" w:color="auto" w:fill="auto"/>
            <w:vAlign w:val="center"/>
          </w:tcPr>
          <w:p w14:paraId="6CACD838">
            <w:pPr>
              <w:pStyle w:val="180"/>
            </w:pPr>
            <w:r>
              <w:rPr>
                <w:rFonts w:ascii="Times New Roman"/>
                <w:bCs/>
                <w:szCs w:val="18"/>
              </w:rPr>
              <w:t>剪应力</w:t>
            </w:r>
            <w:r>
              <w:rPr>
                <w:rFonts w:ascii="Times New Roman"/>
                <w:bCs/>
                <w:i/>
                <w:iCs/>
                <w:szCs w:val="18"/>
              </w:rPr>
              <w:t xml:space="preserve"> τ</w:t>
            </w:r>
            <w:r>
              <w:rPr>
                <w:rFonts w:ascii="Times New Roman"/>
                <w:bCs/>
                <w:szCs w:val="18"/>
              </w:rPr>
              <w:t>/kPa</w:t>
            </w:r>
            <w:r>
              <w:rPr>
                <w:rFonts w:hint="eastAsia" w:ascii="Times New Roman"/>
                <w:bCs/>
                <w:szCs w:val="18"/>
              </w:rPr>
              <w:t>，</w:t>
            </w:r>
            <w:r>
              <w:rPr>
                <w:rFonts w:ascii="Times New Roman"/>
                <w:bCs/>
                <w:szCs w:val="18"/>
              </w:rPr>
              <w:t>黏聚力</w:t>
            </w:r>
            <w:r>
              <w:rPr>
                <w:rFonts w:ascii="Times New Roman"/>
                <w:bCs/>
                <w:i/>
                <w:iCs/>
                <w:szCs w:val="18"/>
              </w:rPr>
              <w:t xml:space="preserve"> cuu</w:t>
            </w:r>
            <w:r>
              <w:rPr>
                <w:rFonts w:ascii="Times New Roman"/>
                <w:bCs/>
                <w:szCs w:val="18"/>
              </w:rPr>
              <w:t>/kPa</w:t>
            </w:r>
            <w:r>
              <w:rPr>
                <w:rFonts w:hint="eastAsia" w:ascii="Times New Roman"/>
                <w:bCs/>
                <w:szCs w:val="18"/>
              </w:rPr>
              <w:t>，</w:t>
            </w:r>
            <w:r>
              <w:rPr>
                <w:rFonts w:ascii="Times New Roman"/>
                <w:bCs/>
                <w:szCs w:val="18"/>
              </w:rPr>
              <w:t>内摩擦角</w:t>
            </w:r>
            <w:r>
              <w:rPr>
                <w:rFonts w:ascii="Times New Roman"/>
                <w:bCs/>
                <w:i/>
                <w:iCs/>
                <w:szCs w:val="18"/>
              </w:rPr>
              <w:t xml:space="preserve"> φuu</w:t>
            </w:r>
            <w:r>
              <w:rPr>
                <w:rFonts w:ascii="Times New Roman"/>
                <w:bCs/>
                <w:szCs w:val="18"/>
              </w:rPr>
              <w:t>/°</w:t>
            </w:r>
          </w:p>
        </w:tc>
      </w:tr>
      <w:tr w14:paraId="72C46E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31B6C908">
            <w:pPr>
              <w:pStyle w:val="180"/>
            </w:pPr>
            <w:r>
              <w:rPr>
                <w:rFonts w:hint="eastAsia"/>
              </w:rPr>
              <w:t>三轴剪切试验</w:t>
            </w:r>
          </w:p>
        </w:tc>
        <w:tc>
          <w:tcPr>
            <w:tcW w:w="7643" w:type="dxa"/>
            <w:shd w:val="clear" w:color="auto" w:fill="auto"/>
            <w:vAlign w:val="center"/>
          </w:tcPr>
          <w:p w14:paraId="4C4AF5CC">
            <w:pPr>
              <w:pStyle w:val="180"/>
            </w:pPr>
            <w:r>
              <w:rPr>
                <w:rFonts w:ascii="Times New Roman"/>
                <w:bCs/>
                <w:szCs w:val="18"/>
              </w:rPr>
              <w:t>剪应力</w:t>
            </w:r>
            <w:r>
              <w:rPr>
                <w:rFonts w:ascii="Times New Roman"/>
                <w:bCs/>
                <w:i/>
                <w:iCs/>
                <w:szCs w:val="18"/>
              </w:rPr>
              <w:t xml:space="preserve"> τ</w:t>
            </w:r>
            <w:r>
              <w:rPr>
                <w:rFonts w:ascii="Times New Roman"/>
                <w:bCs/>
                <w:szCs w:val="18"/>
              </w:rPr>
              <w:t>/kPa</w:t>
            </w:r>
            <w:r>
              <w:rPr>
                <w:rFonts w:hint="eastAsia" w:ascii="Times New Roman"/>
                <w:bCs/>
                <w:szCs w:val="18"/>
              </w:rPr>
              <w:t>，</w:t>
            </w:r>
            <w:r>
              <w:rPr>
                <w:rFonts w:ascii="Times New Roman"/>
                <w:bCs/>
                <w:szCs w:val="18"/>
              </w:rPr>
              <w:t>黏聚力</w:t>
            </w:r>
            <w:r>
              <w:rPr>
                <w:rFonts w:ascii="Times New Roman"/>
                <w:bCs/>
                <w:i/>
                <w:iCs/>
                <w:szCs w:val="18"/>
              </w:rPr>
              <w:t xml:space="preserve"> cuu</w:t>
            </w:r>
            <w:r>
              <w:rPr>
                <w:rFonts w:ascii="Times New Roman"/>
                <w:bCs/>
                <w:szCs w:val="18"/>
              </w:rPr>
              <w:t>/kPa</w:t>
            </w:r>
            <w:r>
              <w:rPr>
                <w:rFonts w:hint="eastAsia" w:ascii="Times New Roman"/>
                <w:bCs/>
                <w:szCs w:val="18"/>
              </w:rPr>
              <w:t>，</w:t>
            </w:r>
            <w:r>
              <w:rPr>
                <w:rFonts w:ascii="Times New Roman"/>
                <w:bCs/>
                <w:szCs w:val="18"/>
              </w:rPr>
              <w:t>内摩擦角</w:t>
            </w:r>
            <w:r>
              <w:rPr>
                <w:rFonts w:ascii="Times New Roman"/>
                <w:bCs/>
                <w:i/>
                <w:iCs/>
                <w:szCs w:val="18"/>
              </w:rPr>
              <w:t xml:space="preserve"> φuu</w:t>
            </w:r>
            <w:r>
              <w:rPr>
                <w:rFonts w:ascii="Times New Roman"/>
                <w:bCs/>
                <w:szCs w:val="18"/>
              </w:rPr>
              <w:t>/°</w:t>
            </w:r>
          </w:p>
        </w:tc>
      </w:tr>
      <w:tr w14:paraId="74C7D8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4C8359E">
            <w:pPr>
              <w:pStyle w:val="180"/>
            </w:pPr>
            <w:r>
              <w:rPr>
                <w:rFonts w:hint="eastAsia"/>
              </w:rPr>
              <w:t>自由膨胀率试验</w:t>
            </w:r>
          </w:p>
        </w:tc>
        <w:tc>
          <w:tcPr>
            <w:tcW w:w="7643" w:type="dxa"/>
            <w:shd w:val="clear" w:color="auto" w:fill="auto"/>
            <w:vAlign w:val="center"/>
          </w:tcPr>
          <w:p w14:paraId="3FBDF0B3">
            <w:pPr>
              <w:pStyle w:val="180"/>
            </w:pPr>
            <w:r>
              <w:rPr>
                <w:rFonts w:ascii="Times New Roman"/>
                <w:bCs/>
                <w:szCs w:val="18"/>
              </w:rPr>
              <w:t>自由膨胀率</w:t>
            </w:r>
            <w:r>
              <w:rPr>
                <w:rFonts w:ascii="Times New Roman"/>
                <w:bCs/>
                <w:i/>
                <w:iCs/>
                <w:szCs w:val="18"/>
              </w:rPr>
              <w:t xml:space="preserve"> τef</w:t>
            </w:r>
            <w:r>
              <w:rPr>
                <w:rFonts w:ascii="Times New Roman"/>
                <w:bCs/>
                <w:szCs w:val="18"/>
              </w:rPr>
              <w:t>/%</w:t>
            </w:r>
          </w:p>
        </w:tc>
      </w:tr>
      <w:tr w14:paraId="628DAE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31B90A99">
            <w:pPr>
              <w:pStyle w:val="180"/>
            </w:pPr>
            <w:r>
              <w:rPr>
                <w:rFonts w:hint="eastAsia"/>
              </w:rPr>
              <w:t>膨胀率试验</w:t>
            </w:r>
          </w:p>
        </w:tc>
        <w:tc>
          <w:tcPr>
            <w:tcW w:w="7643" w:type="dxa"/>
            <w:shd w:val="clear" w:color="auto" w:fill="auto"/>
            <w:vAlign w:val="center"/>
          </w:tcPr>
          <w:p w14:paraId="22D86454">
            <w:pPr>
              <w:pStyle w:val="180"/>
            </w:pPr>
            <w:r>
              <w:rPr>
                <w:rFonts w:ascii="Times New Roman"/>
                <w:bCs/>
                <w:szCs w:val="18"/>
              </w:rPr>
              <w:t>膨胀率</w:t>
            </w:r>
            <w:r>
              <w:rPr>
                <w:rFonts w:ascii="Times New Roman"/>
                <w:bCs/>
                <w:i/>
                <w:iCs/>
                <w:szCs w:val="18"/>
              </w:rPr>
              <w:t xml:space="preserve"> δep</w:t>
            </w:r>
            <w:r>
              <w:rPr>
                <w:rFonts w:ascii="Times New Roman"/>
                <w:bCs/>
                <w:szCs w:val="18"/>
              </w:rPr>
              <w:t>/%</w:t>
            </w:r>
          </w:p>
        </w:tc>
      </w:tr>
      <w:tr w14:paraId="66339E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073EE1A">
            <w:pPr>
              <w:pStyle w:val="180"/>
            </w:pPr>
            <w:r>
              <w:rPr>
                <w:rFonts w:hint="eastAsia"/>
              </w:rPr>
              <w:t>收缩试验</w:t>
            </w:r>
          </w:p>
        </w:tc>
        <w:tc>
          <w:tcPr>
            <w:tcW w:w="7643" w:type="dxa"/>
            <w:shd w:val="clear" w:color="auto" w:fill="auto"/>
            <w:vAlign w:val="center"/>
          </w:tcPr>
          <w:p w14:paraId="2A825CEC">
            <w:pPr>
              <w:pStyle w:val="180"/>
            </w:pPr>
            <w:r>
              <w:rPr>
                <w:rFonts w:ascii="Times New Roman"/>
                <w:bCs/>
                <w:szCs w:val="18"/>
              </w:rPr>
              <w:t>收缩率</w:t>
            </w:r>
            <w:r>
              <w:rPr>
                <w:rFonts w:ascii="Times New Roman"/>
                <w:bCs/>
                <w:i/>
                <w:iCs/>
                <w:szCs w:val="18"/>
              </w:rPr>
              <w:t xml:space="preserve"> δsi</w:t>
            </w:r>
            <w:r>
              <w:rPr>
                <w:rFonts w:ascii="Times New Roman"/>
                <w:bCs/>
                <w:szCs w:val="18"/>
              </w:rPr>
              <w:t>/%</w:t>
            </w:r>
          </w:p>
        </w:tc>
      </w:tr>
    </w:tbl>
    <w:p w14:paraId="3A9EFFE5">
      <w:pPr>
        <w:pStyle w:val="79"/>
        <w:spacing w:before="156" w:after="156"/>
      </w:pPr>
      <w:r>
        <w:rPr>
          <w:rFonts w:hint="eastAsia"/>
        </w:rPr>
        <w:t>岩体测试项目及成果参数表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1"/>
        <w:gridCol w:w="7643"/>
      </w:tblGrid>
      <w:tr w14:paraId="29C0C9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tcPr>
          <w:p w14:paraId="16939C91">
            <w:pPr>
              <w:pStyle w:val="180"/>
            </w:pPr>
            <w:r>
              <w:rPr>
                <w:rFonts w:hint="eastAsia"/>
              </w:rPr>
              <w:t>试验项目</w:t>
            </w:r>
          </w:p>
        </w:tc>
        <w:tc>
          <w:tcPr>
            <w:tcW w:w="7643" w:type="dxa"/>
            <w:tcBorders>
              <w:top w:val="single" w:color="auto" w:sz="8" w:space="0"/>
              <w:bottom w:val="single" w:color="auto" w:sz="8" w:space="0"/>
            </w:tcBorders>
            <w:shd w:val="clear" w:color="auto" w:fill="auto"/>
          </w:tcPr>
          <w:p w14:paraId="37EA11FC">
            <w:pPr>
              <w:pStyle w:val="180"/>
            </w:pPr>
            <w:r>
              <w:rPr>
                <w:rFonts w:hint="eastAsia"/>
              </w:rPr>
              <w:t>主要参数及单位</w:t>
            </w:r>
          </w:p>
        </w:tc>
      </w:tr>
      <w:tr w14:paraId="24DDA6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tcBorders>
              <w:top w:val="single" w:color="auto" w:sz="8" w:space="0"/>
            </w:tcBorders>
            <w:shd w:val="clear" w:color="auto" w:fill="auto"/>
          </w:tcPr>
          <w:p w14:paraId="640FCA69">
            <w:pPr>
              <w:pStyle w:val="180"/>
            </w:pPr>
            <w:r>
              <w:rPr>
                <w:rFonts w:ascii="Times New Roman"/>
                <w:bCs/>
                <w:szCs w:val="18"/>
              </w:rPr>
              <w:t>含水率试验</w:t>
            </w:r>
          </w:p>
        </w:tc>
        <w:tc>
          <w:tcPr>
            <w:tcW w:w="7643" w:type="dxa"/>
            <w:tcBorders>
              <w:top w:val="single" w:color="auto" w:sz="8" w:space="0"/>
            </w:tcBorders>
            <w:shd w:val="clear" w:color="auto" w:fill="auto"/>
          </w:tcPr>
          <w:p w14:paraId="4CD51043">
            <w:pPr>
              <w:pStyle w:val="180"/>
            </w:pPr>
            <w:r>
              <w:rPr>
                <w:rFonts w:ascii="Times New Roman"/>
                <w:bCs/>
                <w:szCs w:val="18"/>
              </w:rPr>
              <w:t>含水率</w:t>
            </w:r>
            <w:r>
              <w:rPr>
                <w:rFonts w:ascii="Times New Roman"/>
                <w:bCs/>
                <w:i/>
                <w:iCs/>
                <w:szCs w:val="18"/>
              </w:rPr>
              <w:t xml:space="preserve"> ω</w:t>
            </w:r>
            <w:r>
              <w:rPr>
                <w:rFonts w:ascii="Times New Roman"/>
                <w:bCs/>
                <w:szCs w:val="18"/>
              </w:rPr>
              <w:t>/%</w:t>
            </w:r>
          </w:p>
        </w:tc>
      </w:tr>
      <w:tr w14:paraId="0B09BA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6642524E">
            <w:pPr>
              <w:pStyle w:val="180"/>
            </w:pPr>
            <w:r>
              <w:rPr>
                <w:rFonts w:ascii="Times New Roman"/>
                <w:bCs/>
                <w:szCs w:val="18"/>
              </w:rPr>
              <w:t>颗粒密度试验</w:t>
            </w:r>
          </w:p>
        </w:tc>
        <w:tc>
          <w:tcPr>
            <w:tcW w:w="7643" w:type="dxa"/>
            <w:shd w:val="clear" w:color="auto" w:fill="auto"/>
          </w:tcPr>
          <w:p w14:paraId="195C7539">
            <w:pPr>
              <w:pStyle w:val="180"/>
            </w:pPr>
            <w:r>
              <w:rPr>
                <w:rFonts w:ascii="Times New Roman"/>
                <w:bCs/>
                <w:szCs w:val="18"/>
              </w:rPr>
              <w:t>颗粒密度</w:t>
            </w:r>
            <w:r>
              <w:rPr>
                <w:rFonts w:ascii="Times New Roman"/>
                <w:bCs/>
                <w:i/>
                <w:iCs/>
                <w:szCs w:val="18"/>
              </w:rPr>
              <w:t xml:space="preserve"> ρs</w:t>
            </w:r>
            <w:r>
              <w:rPr>
                <w:rFonts w:ascii="Times New Roman"/>
                <w:bCs/>
                <w:szCs w:val="18"/>
              </w:rPr>
              <w:t>/(g/cm</w:t>
            </w:r>
            <w:r>
              <w:rPr>
                <w:rFonts w:ascii="Times New Roman"/>
                <w:bCs/>
                <w:szCs w:val="18"/>
                <w:vertAlign w:val="superscript"/>
              </w:rPr>
              <w:t>3</w:t>
            </w:r>
            <w:r>
              <w:rPr>
                <w:rFonts w:ascii="Times New Roman"/>
                <w:bCs/>
                <w:szCs w:val="18"/>
              </w:rPr>
              <w:t>)</w:t>
            </w:r>
          </w:p>
        </w:tc>
      </w:tr>
      <w:tr w14:paraId="39C624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F5746FE">
            <w:pPr>
              <w:pStyle w:val="180"/>
            </w:pPr>
            <w:r>
              <w:rPr>
                <w:rFonts w:ascii="Times New Roman"/>
                <w:bCs/>
                <w:szCs w:val="18"/>
              </w:rPr>
              <w:t>块体密度试验</w:t>
            </w:r>
          </w:p>
        </w:tc>
        <w:tc>
          <w:tcPr>
            <w:tcW w:w="7643" w:type="dxa"/>
            <w:shd w:val="clear" w:color="auto" w:fill="auto"/>
          </w:tcPr>
          <w:p w14:paraId="224B31E7">
            <w:pPr>
              <w:pStyle w:val="180"/>
            </w:pPr>
            <w:r>
              <w:rPr>
                <w:rFonts w:ascii="Times New Roman"/>
                <w:bCs/>
                <w:szCs w:val="18"/>
              </w:rPr>
              <w:t>块体密度</w:t>
            </w:r>
            <w:r>
              <w:rPr>
                <w:rFonts w:ascii="Times New Roman"/>
                <w:bCs/>
                <w:i/>
                <w:iCs/>
                <w:szCs w:val="18"/>
              </w:rPr>
              <w:t xml:space="preserve"> ρd</w:t>
            </w:r>
            <w:r>
              <w:rPr>
                <w:rFonts w:ascii="Times New Roman"/>
                <w:bCs/>
                <w:szCs w:val="18"/>
              </w:rPr>
              <w:t>/(g/cm</w:t>
            </w:r>
            <w:r>
              <w:rPr>
                <w:rFonts w:ascii="Times New Roman"/>
                <w:bCs/>
                <w:szCs w:val="18"/>
                <w:vertAlign w:val="superscript"/>
              </w:rPr>
              <w:t>3</w:t>
            </w:r>
            <w:r>
              <w:rPr>
                <w:rFonts w:ascii="Times New Roman"/>
                <w:bCs/>
                <w:szCs w:val="18"/>
              </w:rPr>
              <w:t>)</w:t>
            </w:r>
          </w:p>
        </w:tc>
      </w:tr>
      <w:tr w14:paraId="05FDDB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1663069">
            <w:pPr>
              <w:pStyle w:val="180"/>
            </w:pPr>
            <w:r>
              <w:rPr>
                <w:rFonts w:ascii="Times New Roman"/>
                <w:bCs/>
                <w:szCs w:val="18"/>
              </w:rPr>
              <w:t>吸水率试验</w:t>
            </w:r>
          </w:p>
        </w:tc>
        <w:tc>
          <w:tcPr>
            <w:tcW w:w="7643" w:type="dxa"/>
            <w:shd w:val="clear" w:color="auto" w:fill="auto"/>
          </w:tcPr>
          <w:p w14:paraId="485BD4C1">
            <w:pPr>
              <w:pStyle w:val="180"/>
            </w:pPr>
            <w:r>
              <w:rPr>
                <w:rFonts w:ascii="Times New Roman"/>
                <w:bCs/>
                <w:szCs w:val="18"/>
              </w:rPr>
              <w:t>吸水率</w:t>
            </w:r>
            <w:r>
              <w:rPr>
                <w:rFonts w:ascii="Times New Roman"/>
                <w:bCs/>
                <w:i/>
                <w:iCs/>
                <w:szCs w:val="18"/>
              </w:rPr>
              <w:t xml:space="preserve"> ωa</w:t>
            </w:r>
            <w:r>
              <w:rPr>
                <w:rFonts w:ascii="Times New Roman"/>
                <w:bCs/>
                <w:szCs w:val="18"/>
              </w:rPr>
              <w:t>/%</w:t>
            </w:r>
          </w:p>
        </w:tc>
      </w:tr>
      <w:tr w14:paraId="2664C8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76CE9507">
            <w:pPr>
              <w:pStyle w:val="180"/>
            </w:pPr>
            <w:r>
              <w:rPr>
                <w:rFonts w:ascii="Times New Roman"/>
                <w:bCs/>
                <w:szCs w:val="18"/>
              </w:rPr>
              <w:t>膨胀率试验</w:t>
            </w:r>
          </w:p>
        </w:tc>
        <w:tc>
          <w:tcPr>
            <w:tcW w:w="7643" w:type="dxa"/>
            <w:shd w:val="clear" w:color="auto" w:fill="auto"/>
            <w:vAlign w:val="center"/>
          </w:tcPr>
          <w:p w14:paraId="6E383084">
            <w:pPr>
              <w:pStyle w:val="232"/>
              <w:spacing w:before="161" w:line="233" w:lineRule="auto"/>
              <w:ind w:right="280"/>
              <w:jc w:val="center"/>
              <w:rPr>
                <w:rFonts w:ascii="Times New Roman" w:hAnsi="Times New Roman" w:cs="Times New Roman"/>
                <w:bCs/>
                <w:sz w:val="18"/>
                <w:szCs w:val="18"/>
                <w:lang w:eastAsia="zh-CN"/>
              </w:rPr>
            </w:pPr>
            <w:r>
              <w:rPr>
                <w:rFonts w:ascii="Times New Roman" w:hAnsi="Times New Roman" w:cs="Times New Roman"/>
                <w:bCs/>
                <w:sz w:val="18"/>
                <w:szCs w:val="18"/>
                <w:lang w:eastAsia="zh-CN"/>
              </w:rPr>
              <w:t>岩石轴向自由膨胀率</w:t>
            </w:r>
            <w:r>
              <w:rPr>
                <w:rFonts w:ascii="Times New Roman" w:hAnsi="Times New Roman" w:cs="Times New Roman"/>
                <w:bCs/>
                <w:i/>
                <w:iCs/>
                <w:sz w:val="18"/>
                <w:szCs w:val="18"/>
                <w:lang w:eastAsia="zh-CN"/>
              </w:rPr>
              <w:t xml:space="preserve"> VH</w:t>
            </w:r>
            <w:r>
              <w:rPr>
                <w:rFonts w:ascii="Times New Roman" w:hAnsi="Times New Roman" w:cs="Times New Roman"/>
                <w:bCs/>
                <w:sz w:val="18"/>
                <w:szCs w:val="18"/>
                <w:lang w:eastAsia="zh-CN"/>
              </w:rPr>
              <w:t>/%、岩石径向自由膨胀率</w:t>
            </w:r>
            <w:r>
              <w:rPr>
                <w:rFonts w:ascii="Times New Roman" w:hAnsi="Times New Roman" w:cs="Times New Roman"/>
                <w:bCs/>
                <w:i/>
                <w:iCs/>
                <w:sz w:val="18"/>
                <w:szCs w:val="18"/>
                <w:lang w:eastAsia="zh-CN"/>
              </w:rPr>
              <w:t xml:space="preserve"> VD</w:t>
            </w:r>
            <w:r>
              <w:rPr>
                <w:rFonts w:ascii="Times New Roman" w:hAnsi="Times New Roman" w:cs="Times New Roman"/>
                <w:bCs/>
                <w:sz w:val="18"/>
                <w:szCs w:val="18"/>
                <w:lang w:eastAsia="zh-CN"/>
              </w:rPr>
              <w:t>/%、</w:t>
            </w:r>
          </w:p>
          <w:p w14:paraId="7CAA2545">
            <w:pPr>
              <w:pStyle w:val="180"/>
            </w:pPr>
            <w:r>
              <w:rPr>
                <w:rFonts w:ascii="Times New Roman"/>
                <w:bCs/>
                <w:szCs w:val="18"/>
              </w:rPr>
              <w:t xml:space="preserve">岩石侧向约束膨胀率 </w:t>
            </w:r>
            <w:r>
              <w:rPr>
                <w:rFonts w:ascii="Times New Roman"/>
                <w:bCs/>
                <w:i/>
                <w:iCs/>
                <w:szCs w:val="18"/>
              </w:rPr>
              <w:t>VHP</w:t>
            </w:r>
            <w:r>
              <w:rPr>
                <w:rFonts w:ascii="Times New Roman"/>
                <w:bCs/>
                <w:szCs w:val="18"/>
              </w:rPr>
              <w:t>/%</w:t>
            </w:r>
          </w:p>
        </w:tc>
      </w:tr>
      <w:tr w14:paraId="2822F8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37ACFC8">
            <w:pPr>
              <w:pStyle w:val="180"/>
            </w:pPr>
            <w:r>
              <w:rPr>
                <w:rFonts w:ascii="Times New Roman"/>
                <w:bCs/>
                <w:szCs w:val="18"/>
              </w:rPr>
              <w:t>耐崩解性试验</w:t>
            </w:r>
          </w:p>
        </w:tc>
        <w:tc>
          <w:tcPr>
            <w:tcW w:w="7643" w:type="dxa"/>
            <w:shd w:val="clear" w:color="auto" w:fill="auto"/>
          </w:tcPr>
          <w:p w14:paraId="1981EB0C">
            <w:pPr>
              <w:pStyle w:val="180"/>
            </w:pPr>
            <w:r>
              <w:rPr>
                <w:rFonts w:ascii="Times New Roman"/>
                <w:bCs/>
                <w:szCs w:val="18"/>
              </w:rPr>
              <w:t>岩石二次循环耐崩解性指数</w:t>
            </w:r>
            <w:r>
              <w:rPr>
                <w:rFonts w:ascii="Times New Roman"/>
                <w:bCs/>
                <w:i/>
                <w:iCs/>
                <w:szCs w:val="18"/>
              </w:rPr>
              <w:t xml:space="preserve"> I</w:t>
            </w:r>
            <w:r>
              <w:rPr>
                <w:rFonts w:ascii="Times New Roman"/>
                <w:bCs/>
                <w:i/>
                <w:iCs/>
                <w:szCs w:val="18"/>
                <w:vertAlign w:val="subscript"/>
              </w:rPr>
              <w:t>d2</w:t>
            </w:r>
            <w:r>
              <w:rPr>
                <w:rFonts w:ascii="Times New Roman"/>
                <w:bCs/>
                <w:szCs w:val="18"/>
              </w:rPr>
              <w:t>/%</w:t>
            </w:r>
          </w:p>
        </w:tc>
      </w:tr>
      <w:tr w14:paraId="7747EB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60A29D2F">
            <w:pPr>
              <w:pStyle w:val="180"/>
            </w:pPr>
            <w:r>
              <w:rPr>
                <w:rFonts w:ascii="Times New Roman"/>
                <w:bCs/>
                <w:szCs w:val="18"/>
              </w:rPr>
              <w:t>单轴抗压强度试验</w:t>
            </w:r>
          </w:p>
        </w:tc>
        <w:tc>
          <w:tcPr>
            <w:tcW w:w="7643" w:type="dxa"/>
            <w:shd w:val="clear" w:color="auto" w:fill="auto"/>
          </w:tcPr>
          <w:p w14:paraId="5974F781">
            <w:pPr>
              <w:pStyle w:val="180"/>
            </w:pPr>
            <w:r>
              <w:rPr>
                <w:rFonts w:ascii="Times New Roman"/>
                <w:bCs/>
                <w:szCs w:val="18"/>
              </w:rPr>
              <w:t>单轴抗压强度</w:t>
            </w:r>
            <w:r>
              <w:rPr>
                <w:rFonts w:ascii="Times New Roman"/>
                <w:bCs/>
                <w:i/>
                <w:iCs/>
                <w:szCs w:val="18"/>
              </w:rPr>
              <w:t xml:space="preserve"> R</w:t>
            </w:r>
            <w:r>
              <w:rPr>
                <w:rFonts w:ascii="Times New Roman"/>
                <w:bCs/>
                <w:szCs w:val="18"/>
              </w:rPr>
              <w:t>/MPa</w:t>
            </w:r>
          </w:p>
        </w:tc>
      </w:tr>
      <w:tr w14:paraId="27323F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1D140D9C">
            <w:pPr>
              <w:pStyle w:val="180"/>
            </w:pPr>
            <w:r>
              <w:rPr>
                <w:rFonts w:ascii="Times New Roman"/>
                <w:bCs/>
                <w:szCs w:val="18"/>
              </w:rPr>
              <w:t>冻融试验</w:t>
            </w:r>
          </w:p>
        </w:tc>
        <w:tc>
          <w:tcPr>
            <w:tcW w:w="7643" w:type="dxa"/>
            <w:shd w:val="clear" w:color="auto" w:fill="auto"/>
          </w:tcPr>
          <w:p w14:paraId="255ACB34">
            <w:pPr>
              <w:pStyle w:val="180"/>
            </w:pPr>
            <w:r>
              <w:rPr>
                <w:rFonts w:ascii="Times New Roman"/>
                <w:bCs/>
                <w:szCs w:val="18"/>
              </w:rPr>
              <w:t>岩石冻融质量损失率</w:t>
            </w:r>
            <w:r>
              <w:rPr>
                <w:rFonts w:ascii="Times New Roman"/>
                <w:bCs/>
                <w:i/>
                <w:iCs/>
                <w:szCs w:val="18"/>
              </w:rPr>
              <w:t xml:space="preserve"> M</w:t>
            </w:r>
            <w:r>
              <w:rPr>
                <w:rFonts w:ascii="Times New Roman"/>
                <w:bCs/>
                <w:szCs w:val="18"/>
              </w:rPr>
              <w:t>/%</w:t>
            </w:r>
          </w:p>
        </w:tc>
      </w:tr>
      <w:tr w14:paraId="18C870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56C6F1F2">
            <w:pPr>
              <w:pStyle w:val="180"/>
              <w:rPr>
                <w:rFonts w:ascii="Times New Roman"/>
                <w:bCs/>
                <w:szCs w:val="18"/>
              </w:rPr>
            </w:pPr>
            <w:r>
              <w:rPr>
                <w:rFonts w:ascii="Times New Roman"/>
                <w:bCs/>
                <w:szCs w:val="18"/>
              </w:rPr>
              <w:t>单轴压缩变形试验</w:t>
            </w:r>
          </w:p>
        </w:tc>
        <w:tc>
          <w:tcPr>
            <w:tcW w:w="7643" w:type="dxa"/>
            <w:shd w:val="clear" w:color="auto" w:fill="auto"/>
          </w:tcPr>
          <w:p w14:paraId="58830C91">
            <w:pPr>
              <w:pStyle w:val="232"/>
              <w:spacing w:before="42" w:line="221" w:lineRule="auto"/>
              <w:ind w:right="56"/>
              <w:jc w:val="center"/>
              <w:rPr>
                <w:rFonts w:ascii="Times New Roman" w:hAnsi="Times New Roman" w:cs="Times New Roman"/>
                <w:bCs/>
                <w:sz w:val="18"/>
                <w:szCs w:val="18"/>
                <w:lang w:eastAsia="zh-CN"/>
              </w:rPr>
            </w:pPr>
            <w:r>
              <w:rPr>
                <w:rFonts w:ascii="Times New Roman" w:hAnsi="Times New Roman" w:cs="Times New Roman"/>
                <w:bCs/>
                <w:sz w:val="18"/>
                <w:szCs w:val="18"/>
                <w:lang w:eastAsia="zh-CN"/>
              </w:rPr>
              <w:t xml:space="preserve">岩石平均弹性模量 </w:t>
            </w:r>
            <w:r>
              <w:rPr>
                <w:rFonts w:ascii="Times New Roman" w:hAnsi="Times New Roman" w:cs="Times New Roman"/>
                <w:bCs/>
                <w:i/>
                <w:iCs/>
                <w:sz w:val="18"/>
                <w:szCs w:val="18"/>
                <w:lang w:eastAsia="zh-CN"/>
              </w:rPr>
              <w:t>Eav</w:t>
            </w:r>
            <w:r>
              <w:rPr>
                <w:rFonts w:ascii="Times New Roman" w:hAnsi="Times New Roman" w:cs="Times New Roman"/>
                <w:bCs/>
                <w:sz w:val="18"/>
                <w:szCs w:val="18"/>
                <w:lang w:eastAsia="zh-CN"/>
              </w:rPr>
              <w:t>/MPa，割线弹性模量</w:t>
            </w:r>
            <w:r>
              <w:rPr>
                <w:rFonts w:ascii="Times New Roman" w:hAnsi="Times New Roman" w:cs="Times New Roman"/>
                <w:bCs/>
                <w:i/>
                <w:iCs/>
                <w:sz w:val="18"/>
                <w:szCs w:val="18"/>
                <w:lang w:eastAsia="zh-CN"/>
              </w:rPr>
              <w:t xml:space="preserve"> E50</w:t>
            </w:r>
            <w:r>
              <w:rPr>
                <w:rFonts w:ascii="Times New Roman" w:hAnsi="Times New Roman" w:cs="Times New Roman"/>
                <w:bCs/>
                <w:sz w:val="18"/>
                <w:szCs w:val="18"/>
                <w:lang w:eastAsia="zh-CN"/>
              </w:rPr>
              <w:t>/MPa；平均泊松比</w:t>
            </w:r>
            <w:r>
              <w:rPr>
                <w:rFonts w:ascii="Times New Roman" w:hAnsi="Times New Roman" w:cs="Times New Roman"/>
                <w:bCs/>
                <w:i/>
                <w:iCs/>
                <w:sz w:val="18"/>
                <w:szCs w:val="18"/>
                <w:lang w:eastAsia="zh-CN"/>
              </w:rPr>
              <w:t xml:space="preserve"> μav</w:t>
            </w:r>
            <w:r>
              <w:rPr>
                <w:rFonts w:ascii="Times New Roman" w:hAnsi="Times New Roman" w:cs="Times New Roman"/>
                <w:bCs/>
                <w:sz w:val="18"/>
                <w:szCs w:val="18"/>
                <w:lang w:eastAsia="zh-CN"/>
              </w:rPr>
              <w:t xml:space="preserve">； </w:t>
            </w:r>
          </w:p>
          <w:p w14:paraId="293CB3BF">
            <w:pPr>
              <w:pStyle w:val="180"/>
              <w:rPr>
                <w:rFonts w:ascii="Times New Roman"/>
                <w:bCs/>
                <w:szCs w:val="18"/>
              </w:rPr>
            </w:pPr>
            <w:r>
              <w:rPr>
                <w:rFonts w:ascii="Times New Roman"/>
                <w:bCs/>
                <w:szCs w:val="18"/>
              </w:rPr>
              <w:t>泊松比</w:t>
            </w:r>
            <w:r>
              <w:rPr>
                <w:rFonts w:ascii="Times New Roman"/>
                <w:bCs/>
                <w:i/>
                <w:iCs/>
                <w:szCs w:val="18"/>
              </w:rPr>
              <w:t xml:space="preserve"> μ50</w:t>
            </w:r>
          </w:p>
        </w:tc>
      </w:tr>
      <w:tr w14:paraId="1533EB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FD976A7">
            <w:pPr>
              <w:pStyle w:val="180"/>
              <w:rPr>
                <w:rFonts w:ascii="Times New Roman"/>
                <w:bCs/>
                <w:szCs w:val="18"/>
              </w:rPr>
            </w:pPr>
            <w:r>
              <w:rPr>
                <w:rFonts w:ascii="Times New Roman"/>
                <w:bCs/>
                <w:szCs w:val="18"/>
              </w:rPr>
              <w:t>三轴压缩强度试验</w:t>
            </w:r>
          </w:p>
        </w:tc>
        <w:tc>
          <w:tcPr>
            <w:tcW w:w="7643" w:type="dxa"/>
            <w:shd w:val="clear" w:color="auto" w:fill="auto"/>
          </w:tcPr>
          <w:p w14:paraId="54A9E7F1">
            <w:pPr>
              <w:pStyle w:val="180"/>
              <w:rPr>
                <w:rFonts w:ascii="Times New Roman"/>
                <w:bCs/>
                <w:szCs w:val="18"/>
              </w:rPr>
            </w:pPr>
            <w:r>
              <w:rPr>
                <w:rFonts w:ascii="Times New Roman"/>
                <w:bCs/>
                <w:szCs w:val="18"/>
              </w:rPr>
              <w:t>摩擦系数</w:t>
            </w:r>
            <w:r>
              <w:rPr>
                <w:rFonts w:ascii="Times New Roman"/>
                <w:bCs/>
                <w:i/>
                <w:iCs/>
                <w:szCs w:val="18"/>
              </w:rPr>
              <w:t xml:space="preserve"> f</w:t>
            </w:r>
            <w:r>
              <w:rPr>
                <w:rFonts w:ascii="Times New Roman"/>
                <w:bCs/>
                <w:szCs w:val="18"/>
              </w:rPr>
              <w:t>，粘聚力</w:t>
            </w:r>
            <w:r>
              <w:rPr>
                <w:rFonts w:ascii="Times New Roman"/>
                <w:bCs/>
                <w:i/>
                <w:iCs/>
                <w:szCs w:val="18"/>
              </w:rPr>
              <w:t xml:space="preserve"> c</w:t>
            </w:r>
            <w:r>
              <w:rPr>
                <w:rFonts w:ascii="Times New Roman"/>
                <w:bCs/>
                <w:szCs w:val="18"/>
              </w:rPr>
              <w:t>/MPa</w:t>
            </w:r>
          </w:p>
        </w:tc>
      </w:tr>
      <w:tr w14:paraId="40086F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D4D9388">
            <w:pPr>
              <w:pStyle w:val="180"/>
              <w:rPr>
                <w:rFonts w:ascii="Times New Roman"/>
                <w:bCs/>
                <w:szCs w:val="18"/>
              </w:rPr>
            </w:pPr>
            <w:r>
              <w:rPr>
                <w:rFonts w:hint="eastAsia" w:ascii="Times New Roman"/>
                <w:bCs/>
                <w:szCs w:val="18"/>
              </w:rPr>
              <w:t>岩石</w:t>
            </w:r>
            <w:r>
              <w:rPr>
                <w:rFonts w:ascii="Times New Roman"/>
                <w:bCs/>
                <w:szCs w:val="18"/>
              </w:rPr>
              <w:t>抗拉强度试验</w:t>
            </w:r>
          </w:p>
        </w:tc>
        <w:tc>
          <w:tcPr>
            <w:tcW w:w="7643" w:type="dxa"/>
            <w:shd w:val="clear" w:color="auto" w:fill="auto"/>
          </w:tcPr>
          <w:p w14:paraId="2421CED4">
            <w:pPr>
              <w:pStyle w:val="180"/>
              <w:rPr>
                <w:rFonts w:ascii="Times New Roman"/>
                <w:bCs/>
                <w:szCs w:val="18"/>
              </w:rPr>
            </w:pPr>
            <w:r>
              <w:rPr>
                <w:rFonts w:ascii="Times New Roman"/>
                <w:bCs/>
                <w:szCs w:val="18"/>
              </w:rPr>
              <w:t>抗拉强度</w:t>
            </w:r>
            <w:r>
              <w:rPr>
                <w:rFonts w:ascii="Times New Roman"/>
                <w:bCs/>
                <w:i/>
                <w:iCs/>
                <w:szCs w:val="18"/>
              </w:rPr>
              <w:t xml:space="preserve"> στ</w:t>
            </w:r>
            <w:r>
              <w:rPr>
                <w:rFonts w:ascii="Times New Roman"/>
                <w:bCs/>
                <w:szCs w:val="18"/>
              </w:rPr>
              <w:t>/MPa</w:t>
            </w:r>
          </w:p>
        </w:tc>
      </w:tr>
      <w:tr w14:paraId="39F3EA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075BD6B9">
            <w:pPr>
              <w:pStyle w:val="180"/>
              <w:rPr>
                <w:rFonts w:ascii="Times New Roman"/>
                <w:bCs/>
                <w:szCs w:val="18"/>
              </w:rPr>
            </w:pPr>
            <w:r>
              <w:rPr>
                <w:rFonts w:ascii="Times New Roman"/>
                <w:bCs/>
                <w:szCs w:val="18"/>
              </w:rPr>
              <w:t>直剪试验</w:t>
            </w:r>
          </w:p>
        </w:tc>
        <w:tc>
          <w:tcPr>
            <w:tcW w:w="7643" w:type="dxa"/>
            <w:shd w:val="clear" w:color="auto" w:fill="auto"/>
          </w:tcPr>
          <w:p w14:paraId="69493E9D">
            <w:pPr>
              <w:pStyle w:val="180"/>
              <w:rPr>
                <w:rFonts w:ascii="Times New Roman"/>
                <w:bCs/>
                <w:szCs w:val="18"/>
              </w:rPr>
            </w:pPr>
            <w:r>
              <w:rPr>
                <w:rFonts w:ascii="Times New Roman"/>
                <w:bCs/>
                <w:szCs w:val="18"/>
              </w:rPr>
              <w:t>法向应力</w:t>
            </w:r>
            <w:r>
              <w:rPr>
                <w:rFonts w:ascii="Times New Roman"/>
                <w:bCs/>
                <w:i/>
                <w:iCs/>
                <w:szCs w:val="18"/>
              </w:rPr>
              <w:t xml:space="preserve"> σ</w:t>
            </w:r>
            <w:r>
              <w:rPr>
                <w:rFonts w:ascii="Times New Roman"/>
                <w:bCs/>
                <w:szCs w:val="18"/>
              </w:rPr>
              <w:t>/MPa，剪应力</w:t>
            </w:r>
            <w:r>
              <w:rPr>
                <w:rFonts w:ascii="Times New Roman"/>
                <w:bCs/>
                <w:i/>
                <w:iCs/>
                <w:szCs w:val="18"/>
              </w:rPr>
              <w:t xml:space="preserve"> τ</w:t>
            </w:r>
            <w:r>
              <w:rPr>
                <w:rFonts w:ascii="Times New Roman"/>
                <w:bCs/>
                <w:szCs w:val="18"/>
              </w:rPr>
              <w:t>/MPa</w:t>
            </w:r>
            <w:r>
              <w:rPr>
                <w:rFonts w:hint="eastAsia" w:ascii="Times New Roman"/>
                <w:bCs/>
                <w:szCs w:val="18"/>
              </w:rPr>
              <w:t>，</w:t>
            </w:r>
            <w:r>
              <w:rPr>
                <w:rFonts w:ascii="Times New Roman"/>
                <w:bCs/>
                <w:szCs w:val="18"/>
              </w:rPr>
              <w:t>黏聚力</w:t>
            </w:r>
            <w:r>
              <w:rPr>
                <w:rFonts w:ascii="Times New Roman"/>
                <w:bCs/>
                <w:i/>
                <w:iCs/>
                <w:szCs w:val="18"/>
              </w:rPr>
              <w:t xml:space="preserve"> cuu</w:t>
            </w:r>
            <w:r>
              <w:rPr>
                <w:rFonts w:ascii="Times New Roman"/>
                <w:bCs/>
                <w:szCs w:val="18"/>
              </w:rPr>
              <w:t>/kPa</w:t>
            </w:r>
            <w:r>
              <w:rPr>
                <w:rFonts w:hint="eastAsia" w:ascii="Times New Roman"/>
                <w:bCs/>
                <w:szCs w:val="18"/>
              </w:rPr>
              <w:t>，</w:t>
            </w:r>
            <w:r>
              <w:rPr>
                <w:rFonts w:ascii="Times New Roman"/>
                <w:bCs/>
                <w:szCs w:val="18"/>
              </w:rPr>
              <w:t>内摩擦角</w:t>
            </w:r>
            <w:r>
              <w:rPr>
                <w:rFonts w:ascii="Times New Roman"/>
                <w:bCs/>
                <w:i/>
                <w:iCs/>
                <w:szCs w:val="18"/>
              </w:rPr>
              <w:t xml:space="preserve"> φuu</w:t>
            </w:r>
            <w:r>
              <w:rPr>
                <w:rFonts w:ascii="Times New Roman"/>
                <w:bCs/>
                <w:szCs w:val="18"/>
              </w:rPr>
              <w:t>/°</w:t>
            </w:r>
          </w:p>
        </w:tc>
      </w:tr>
      <w:tr w14:paraId="3C00DD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5B9D102F">
            <w:pPr>
              <w:pStyle w:val="180"/>
              <w:rPr>
                <w:rFonts w:ascii="Times New Roman"/>
                <w:bCs/>
                <w:szCs w:val="18"/>
              </w:rPr>
            </w:pPr>
            <w:r>
              <w:rPr>
                <w:rFonts w:ascii="Times New Roman"/>
                <w:bCs/>
                <w:szCs w:val="18"/>
              </w:rPr>
              <w:t>点荷载强度试验</w:t>
            </w:r>
          </w:p>
        </w:tc>
        <w:tc>
          <w:tcPr>
            <w:tcW w:w="7643" w:type="dxa"/>
            <w:shd w:val="clear" w:color="auto" w:fill="auto"/>
          </w:tcPr>
          <w:p w14:paraId="3382CD0B">
            <w:pPr>
              <w:pStyle w:val="180"/>
              <w:rPr>
                <w:rFonts w:ascii="Times New Roman"/>
                <w:bCs/>
                <w:szCs w:val="18"/>
              </w:rPr>
            </w:pPr>
            <w:r>
              <w:rPr>
                <w:rFonts w:ascii="Times New Roman"/>
                <w:bCs/>
                <w:szCs w:val="18"/>
              </w:rPr>
              <w:t>点荷载强度</w:t>
            </w:r>
            <w:r>
              <w:rPr>
                <w:rFonts w:ascii="Times New Roman"/>
                <w:bCs/>
                <w:i/>
                <w:iCs/>
                <w:szCs w:val="18"/>
              </w:rPr>
              <w:t xml:space="preserve"> Is</w:t>
            </w:r>
            <w:r>
              <w:rPr>
                <w:rFonts w:ascii="Times New Roman"/>
                <w:bCs/>
                <w:szCs w:val="18"/>
              </w:rPr>
              <w:t>/MPa</w:t>
            </w:r>
          </w:p>
        </w:tc>
      </w:tr>
      <w:tr w14:paraId="4FF1CC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AC43360">
            <w:pPr>
              <w:pStyle w:val="180"/>
              <w:rPr>
                <w:rFonts w:ascii="Times New Roman"/>
                <w:bCs/>
                <w:szCs w:val="18"/>
              </w:rPr>
            </w:pPr>
            <w:r>
              <w:rPr>
                <w:rFonts w:ascii="Times New Roman"/>
                <w:bCs/>
                <w:szCs w:val="18"/>
              </w:rPr>
              <w:t>承压板法试验</w:t>
            </w:r>
          </w:p>
        </w:tc>
        <w:tc>
          <w:tcPr>
            <w:tcW w:w="7643" w:type="dxa"/>
            <w:shd w:val="clear" w:color="auto" w:fill="auto"/>
          </w:tcPr>
          <w:p w14:paraId="53F3EDAC">
            <w:pPr>
              <w:pStyle w:val="180"/>
              <w:rPr>
                <w:rFonts w:ascii="Times New Roman"/>
                <w:bCs/>
                <w:szCs w:val="18"/>
              </w:rPr>
            </w:pPr>
            <w:r>
              <w:rPr>
                <w:rFonts w:ascii="Times New Roman"/>
                <w:bCs/>
                <w:szCs w:val="18"/>
              </w:rPr>
              <w:t>弹性模量</w:t>
            </w:r>
            <w:r>
              <w:rPr>
                <w:rFonts w:ascii="Times New Roman"/>
                <w:bCs/>
                <w:i/>
                <w:iCs/>
                <w:szCs w:val="18"/>
              </w:rPr>
              <w:t xml:space="preserve"> E</w:t>
            </w:r>
            <w:r>
              <w:rPr>
                <w:rFonts w:ascii="Times New Roman"/>
                <w:bCs/>
                <w:szCs w:val="18"/>
              </w:rPr>
              <w:t>/MPa</w:t>
            </w:r>
          </w:p>
        </w:tc>
      </w:tr>
      <w:tr w14:paraId="5EB6FB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165DF630">
            <w:pPr>
              <w:pStyle w:val="180"/>
              <w:rPr>
                <w:rFonts w:ascii="Times New Roman"/>
                <w:bCs/>
                <w:szCs w:val="18"/>
              </w:rPr>
            </w:pPr>
            <w:r>
              <w:rPr>
                <w:rFonts w:ascii="Times New Roman"/>
                <w:bCs/>
                <w:szCs w:val="18"/>
              </w:rPr>
              <w:t>钻孔径向加压法试验</w:t>
            </w:r>
          </w:p>
        </w:tc>
        <w:tc>
          <w:tcPr>
            <w:tcW w:w="7643" w:type="dxa"/>
            <w:shd w:val="clear" w:color="auto" w:fill="auto"/>
          </w:tcPr>
          <w:p w14:paraId="2DBA4A09">
            <w:pPr>
              <w:pStyle w:val="180"/>
              <w:rPr>
                <w:rFonts w:ascii="Times New Roman"/>
                <w:bCs/>
                <w:szCs w:val="18"/>
              </w:rPr>
            </w:pPr>
            <w:r>
              <w:rPr>
                <w:rFonts w:ascii="Times New Roman"/>
                <w:bCs/>
                <w:szCs w:val="18"/>
              </w:rPr>
              <w:t xml:space="preserve">弹性模量 </w:t>
            </w:r>
            <w:r>
              <w:rPr>
                <w:rFonts w:ascii="Times New Roman"/>
                <w:bCs/>
                <w:i/>
                <w:iCs/>
                <w:szCs w:val="18"/>
              </w:rPr>
              <w:t>E</w:t>
            </w:r>
            <w:r>
              <w:rPr>
                <w:rFonts w:ascii="Times New Roman"/>
                <w:bCs/>
                <w:szCs w:val="18"/>
              </w:rPr>
              <w:t>/MPa</w:t>
            </w:r>
          </w:p>
        </w:tc>
      </w:tr>
      <w:tr w14:paraId="447EDE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tcPr>
          <w:p w14:paraId="7EB54DCE">
            <w:pPr>
              <w:pStyle w:val="180"/>
              <w:rPr>
                <w:rFonts w:ascii="Times New Roman"/>
                <w:bCs/>
                <w:szCs w:val="18"/>
              </w:rPr>
            </w:pPr>
            <w:r>
              <w:rPr>
                <w:rFonts w:ascii="Times New Roman"/>
                <w:bCs/>
                <w:szCs w:val="18"/>
              </w:rPr>
              <w:t>岩体载荷试验</w:t>
            </w:r>
          </w:p>
        </w:tc>
        <w:tc>
          <w:tcPr>
            <w:tcW w:w="7643" w:type="dxa"/>
            <w:shd w:val="clear" w:color="auto" w:fill="auto"/>
          </w:tcPr>
          <w:p w14:paraId="0C76CC0E">
            <w:pPr>
              <w:pStyle w:val="180"/>
              <w:rPr>
                <w:rFonts w:ascii="Times New Roman"/>
                <w:bCs/>
                <w:szCs w:val="18"/>
              </w:rPr>
            </w:pPr>
            <w:r>
              <w:rPr>
                <w:rFonts w:ascii="Times New Roman"/>
                <w:bCs/>
                <w:szCs w:val="18"/>
              </w:rPr>
              <w:t>岩体变形参数</w:t>
            </w:r>
          </w:p>
        </w:tc>
      </w:tr>
    </w:tbl>
    <w:p w14:paraId="7EA5084F">
      <w:pPr>
        <w:pStyle w:val="58"/>
        <w:ind w:firstLine="420"/>
      </w:pPr>
    </w:p>
    <w:p w14:paraId="439616FC">
      <w:pPr>
        <w:pStyle w:val="58"/>
        <w:ind w:firstLine="420"/>
      </w:pPr>
    </w:p>
    <w:p w14:paraId="67F95EAD">
      <w:pPr>
        <w:pStyle w:val="58"/>
        <w:ind w:firstLine="420"/>
        <w:sectPr>
          <w:headerReference r:id="rId18" w:type="default"/>
          <w:footerReference r:id="rId20" w:type="default"/>
          <w:headerReference r:id="rId19" w:type="even"/>
          <w:footerReference r:id="rId21" w:type="even"/>
          <w:pgSz w:w="11906" w:h="16838"/>
          <w:pgMar w:top="1928" w:right="1134" w:bottom="1134" w:left="1134" w:header="1418" w:footer="1134" w:gutter="284"/>
          <w:cols w:space="425" w:num="1"/>
          <w:formProt w:val="0"/>
          <w:docGrid w:type="lines" w:linePitch="312" w:charSpace="0"/>
        </w:sectPr>
      </w:pPr>
    </w:p>
    <w:p w14:paraId="4300F3F3">
      <w:pPr>
        <w:pStyle w:val="200"/>
        <w:rPr>
          <w:vanish w:val="0"/>
        </w:rPr>
      </w:pPr>
    </w:p>
    <w:p w14:paraId="0E6732EA">
      <w:pPr>
        <w:pStyle w:val="201"/>
        <w:rPr>
          <w:vanish w:val="0"/>
        </w:rPr>
      </w:pPr>
    </w:p>
    <w:p w14:paraId="00A8E437">
      <w:pPr>
        <w:pStyle w:val="78"/>
        <w:spacing w:after="156"/>
      </w:pPr>
      <w:r>
        <w:br w:type="textWrapping"/>
      </w:r>
      <w:bookmarkStart w:id="304" w:name="_Toc178172370"/>
      <w:bookmarkStart w:id="305" w:name="_Toc176194166"/>
      <w:r>
        <w:rPr>
          <w:rFonts w:hint="eastAsia"/>
        </w:rPr>
        <w:t>（资料性）</w:t>
      </w:r>
      <w:r>
        <w:br w:type="textWrapping"/>
      </w:r>
      <w:r>
        <w:rPr>
          <w:rFonts w:hint="eastAsia"/>
        </w:rPr>
        <w:t>岩土体的类型与结构</w:t>
      </w:r>
      <w:bookmarkEnd w:id="304"/>
      <w:bookmarkEnd w:id="305"/>
    </w:p>
    <w:p w14:paraId="0457AE6A">
      <w:pPr>
        <w:pStyle w:val="80"/>
        <w:spacing w:before="156" w:after="156"/>
      </w:pPr>
      <w:bookmarkStart w:id="306" w:name="_Toc176194167"/>
      <w:bookmarkStart w:id="307" w:name="_Toc168321618"/>
      <w:bookmarkStart w:id="308" w:name="_Toc168092294"/>
      <w:bookmarkStart w:id="309" w:name="_Toc178172371"/>
      <w:r>
        <w:rPr>
          <w:rFonts w:hint="eastAsia"/>
        </w:rPr>
        <w:t>土体的类型与结构</w:t>
      </w:r>
      <w:bookmarkEnd w:id="306"/>
      <w:bookmarkEnd w:id="307"/>
      <w:bookmarkEnd w:id="308"/>
      <w:bookmarkEnd w:id="309"/>
    </w:p>
    <w:p w14:paraId="6445A6F9">
      <w:pPr>
        <w:pStyle w:val="58"/>
        <w:ind w:firstLine="420"/>
      </w:pPr>
      <w:r>
        <w:rPr>
          <w:rFonts w:ascii="Times New Roman"/>
          <w:szCs w:val="21"/>
        </w:rPr>
        <w:t>根据地质成因，可划分为残积土、坡积土、洪积土、冲积土、淤积土、冰积土和风积土等。根据土的颗粒组成分析结果和塑性指数，可将土分为：碎石土、砂土、粉土、粘性土等四大类型，并可进一步细分如表</w:t>
      </w:r>
      <w:r>
        <w:rPr>
          <w:rFonts w:hint="eastAsia" w:ascii="Times New Roman"/>
          <w:szCs w:val="21"/>
        </w:rPr>
        <w:t>E</w:t>
      </w:r>
      <w:r>
        <w:rPr>
          <w:rFonts w:ascii="Times New Roman"/>
          <w:szCs w:val="21"/>
        </w:rPr>
        <w:t>.1</w:t>
      </w:r>
      <w:r>
        <w:rPr>
          <w:rFonts w:hint="eastAsia" w:ascii="Times New Roman"/>
          <w:szCs w:val="21"/>
        </w:rPr>
        <w:t>-1。</w:t>
      </w:r>
    </w:p>
    <w:p w14:paraId="6261BF22">
      <w:pPr>
        <w:pStyle w:val="79"/>
        <w:spacing w:before="156" w:after="156"/>
      </w:pPr>
      <w:r>
        <w:rPr>
          <w:rFonts w:ascii="Times New Roman"/>
          <w:szCs w:val="21"/>
        </w:rPr>
        <w:t>土的颗粒组成分类</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124"/>
        <w:gridCol w:w="1985"/>
        <w:gridCol w:w="4394"/>
        <w:gridCol w:w="1831"/>
      </w:tblGrid>
      <w:tr w14:paraId="274931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blHeader/>
          <w:jc w:val="center"/>
        </w:trPr>
        <w:tc>
          <w:tcPr>
            <w:tcW w:w="3109" w:type="dxa"/>
            <w:gridSpan w:val="2"/>
            <w:tcBorders>
              <w:top w:val="single" w:color="auto" w:sz="8" w:space="0"/>
              <w:bottom w:val="single" w:color="auto" w:sz="8" w:space="0"/>
            </w:tcBorders>
            <w:shd w:val="clear" w:color="auto" w:fill="auto"/>
          </w:tcPr>
          <w:p w14:paraId="7D58AC47">
            <w:pPr>
              <w:pStyle w:val="180"/>
            </w:pPr>
            <w:r>
              <w:rPr>
                <w:rFonts w:hint="eastAsia"/>
              </w:rPr>
              <w:t>类型</w:t>
            </w:r>
          </w:p>
        </w:tc>
        <w:tc>
          <w:tcPr>
            <w:tcW w:w="6225" w:type="dxa"/>
            <w:gridSpan w:val="2"/>
            <w:tcBorders>
              <w:top w:val="single" w:color="auto" w:sz="8" w:space="0"/>
              <w:bottom w:val="single" w:color="auto" w:sz="8" w:space="0"/>
            </w:tcBorders>
            <w:shd w:val="clear" w:color="auto" w:fill="auto"/>
          </w:tcPr>
          <w:p w14:paraId="4DD609F7">
            <w:pPr>
              <w:pStyle w:val="180"/>
            </w:pPr>
            <w:r>
              <w:rPr>
                <w:rFonts w:hint="eastAsia"/>
              </w:rPr>
              <w:t>分类指标</w:t>
            </w:r>
          </w:p>
        </w:tc>
      </w:tr>
      <w:tr w14:paraId="01C7ED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tcBorders>
              <w:top w:val="single" w:color="auto" w:sz="8" w:space="0"/>
            </w:tcBorders>
            <w:shd w:val="clear" w:color="auto" w:fill="auto"/>
          </w:tcPr>
          <w:p w14:paraId="3DF9331B">
            <w:pPr>
              <w:pStyle w:val="180"/>
            </w:pPr>
            <w:r>
              <w:rPr>
                <w:rFonts w:hint="eastAsia"/>
              </w:rPr>
              <w:t>大类</w:t>
            </w:r>
          </w:p>
        </w:tc>
        <w:tc>
          <w:tcPr>
            <w:tcW w:w="1985" w:type="dxa"/>
            <w:tcBorders>
              <w:top w:val="single" w:color="auto" w:sz="8" w:space="0"/>
            </w:tcBorders>
            <w:shd w:val="clear" w:color="auto" w:fill="auto"/>
          </w:tcPr>
          <w:p w14:paraId="1C2A61DC">
            <w:pPr>
              <w:pStyle w:val="180"/>
            </w:pPr>
            <w:r>
              <w:rPr>
                <w:rFonts w:hint="eastAsia"/>
              </w:rPr>
              <w:t>细类</w:t>
            </w:r>
          </w:p>
        </w:tc>
        <w:tc>
          <w:tcPr>
            <w:tcW w:w="4394" w:type="dxa"/>
            <w:tcBorders>
              <w:top w:val="single" w:color="auto" w:sz="8" w:space="0"/>
            </w:tcBorders>
            <w:shd w:val="clear" w:color="auto" w:fill="auto"/>
          </w:tcPr>
          <w:p w14:paraId="20F9009A">
            <w:pPr>
              <w:pStyle w:val="180"/>
            </w:pPr>
            <w:r>
              <w:rPr>
                <w:rFonts w:hint="eastAsia"/>
              </w:rPr>
              <w:t>颗粒组成</w:t>
            </w:r>
          </w:p>
        </w:tc>
        <w:tc>
          <w:tcPr>
            <w:tcW w:w="1831" w:type="dxa"/>
            <w:tcBorders>
              <w:top w:val="single" w:color="auto" w:sz="8" w:space="0"/>
            </w:tcBorders>
            <w:shd w:val="clear" w:color="auto" w:fill="auto"/>
          </w:tcPr>
          <w:p w14:paraId="0B98D8F5">
            <w:pPr>
              <w:pStyle w:val="180"/>
            </w:pPr>
            <w:r>
              <w:rPr>
                <w:rFonts w:hint="eastAsia"/>
              </w:rPr>
              <w:t>塑性指数</w:t>
            </w:r>
          </w:p>
        </w:tc>
      </w:tr>
      <w:tr w14:paraId="48914C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restart"/>
            <w:shd w:val="clear" w:color="auto" w:fill="auto"/>
            <w:vAlign w:val="center"/>
          </w:tcPr>
          <w:p w14:paraId="6DF4A715">
            <w:pPr>
              <w:pStyle w:val="180"/>
            </w:pPr>
            <w:r>
              <w:rPr>
                <w:rFonts w:hint="eastAsia"/>
              </w:rPr>
              <w:t>碎石土</w:t>
            </w:r>
          </w:p>
        </w:tc>
        <w:tc>
          <w:tcPr>
            <w:tcW w:w="1985" w:type="dxa"/>
            <w:shd w:val="clear" w:color="auto" w:fill="auto"/>
          </w:tcPr>
          <w:p w14:paraId="5DBAD028">
            <w:pPr>
              <w:pStyle w:val="180"/>
            </w:pPr>
            <w:r>
              <w:rPr>
                <w:rFonts w:hint="eastAsia"/>
              </w:rPr>
              <w:t>漂石（块石）</w:t>
            </w:r>
          </w:p>
        </w:tc>
        <w:tc>
          <w:tcPr>
            <w:tcW w:w="4394" w:type="dxa"/>
            <w:shd w:val="clear" w:color="auto" w:fill="auto"/>
          </w:tcPr>
          <w:p w14:paraId="62D0854A">
            <w:pPr>
              <w:pStyle w:val="180"/>
              <w:jc w:val="left"/>
            </w:pPr>
            <w:r>
              <w:rPr>
                <w:rFonts w:hint="eastAsia"/>
              </w:rPr>
              <w:t>粒径大于 200mm 的颗粒质量超过总质量 50%</w:t>
            </w:r>
          </w:p>
        </w:tc>
        <w:tc>
          <w:tcPr>
            <w:tcW w:w="1831" w:type="dxa"/>
            <w:vMerge w:val="restart"/>
            <w:shd w:val="clear" w:color="auto" w:fill="auto"/>
            <w:vAlign w:val="center"/>
          </w:tcPr>
          <w:p w14:paraId="74966443">
            <w:pPr>
              <w:pStyle w:val="180"/>
            </w:pPr>
            <w:r>
              <w:rPr>
                <w:rFonts w:hint="eastAsia"/>
              </w:rPr>
              <w:t>无</w:t>
            </w:r>
          </w:p>
        </w:tc>
      </w:tr>
      <w:tr w14:paraId="6001A1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09276BCD">
            <w:pPr>
              <w:pStyle w:val="180"/>
            </w:pPr>
          </w:p>
        </w:tc>
        <w:tc>
          <w:tcPr>
            <w:tcW w:w="1985" w:type="dxa"/>
            <w:shd w:val="clear" w:color="auto" w:fill="auto"/>
          </w:tcPr>
          <w:p w14:paraId="485F598F">
            <w:pPr>
              <w:pStyle w:val="180"/>
            </w:pPr>
            <w:r>
              <w:rPr>
                <w:rFonts w:hint="eastAsia"/>
              </w:rPr>
              <w:t>卵石（碎石）</w:t>
            </w:r>
          </w:p>
        </w:tc>
        <w:tc>
          <w:tcPr>
            <w:tcW w:w="4394" w:type="dxa"/>
            <w:shd w:val="clear" w:color="auto" w:fill="auto"/>
          </w:tcPr>
          <w:p w14:paraId="0CFBA4BC">
            <w:pPr>
              <w:pStyle w:val="180"/>
              <w:jc w:val="left"/>
            </w:pPr>
            <w:r>
              <w:rPr>
                <w:rFonts w:hint="eastAsia"/>
              </w:rPr>
              <w:t>粒径大于 20mm 的颗粒质量超过总质量 50%</w:t>
            </w:r>
          </w:p>
        </w:tc>
        <w:tc>
          <w:tcPr>
            <w:tcW w:w="1831" w:type="dxa"/>
            <w:vMerge w:val="continue"/>
            <w:shd w:val="clear" w:color="auto" w:fill="auto"/>
            <w:vAlign w:val="center"/>
          </w:tcPr>
          <w:p w14:paraId="2CEB7559">
            <w:pPr>
              <w:pStyle w:val="180"/>
            </w:pPr>
          </w:p>
        </w:tc>
      </w:tr>
      <w:tr w14:paraId="6373F9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9AC510A">
            <w:pPr>
              <w:pStyle w:val="180"/>
            </w:pPr>
          </w:p>
        </w:tc>
        <w:tc>
          <w:tcPr>
            <w:tcW w:w="1985" w:type="dxa"/>
            <w:shd w:val="clear" w:color="auto" w:fill="auto"/>
          </w:tcPr>
          <w:p w14:paraId="22ADC2BA">
            <w:pPr>
              <w:pStyle w:val="180"/>
            </w:pPr>
            <w:r>
              <w:rPr>
                <w:rFonts w:hint="eastAsia"/>
              </w:rPr>
              <w:t>圆砾（角砾）</w:t>
            </w:r>
          </w:p>
        </w:tc>
        <w:tc>
          <w:tcPr>
            <w:tcW w:w="4394" w:type="dxa"/>
            <w:shd w:val="clear" w:color="auto" w:fill="auto"/>
          </w:tcPr>
          <w:p w14:paraId="7F142817">
            <w:pPr>
              <w:pStyle w:val="180"/>
              <w:jc w:val="left"/>
            </w:pPr>
            <w:r>
              <w:rPr>
                <w:rFonts w:hint="eastAsia"/>
              </w:rPr>
              <w:t>粒径大于 2mm 的颗粒质量超过总质量 50%</w:t>
            </w:r>
          </w:p>
        </w:tc>
        <w:tc>
          <w:tcPr>
            <w:tcW w:w="1831" w:type="dxa"/>
            <w:vMerge w:val="continue"/>
            <w:shd w:val="clear" w:color="auto" w:fill="auto"/>
            <w:vAlign w:val="center"/>
          </w:tcPr>
          <w:p w14:paraId="43530858">
            <w:pPr>
              <w:pStyle w:val="180"/>
            </w:pPr>
          </w:p>
        </w:tc>
      </w:tr>
      <w:tr w14:paraId="786659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restart"/>
            <w:shd w:val="clear" w:color="auto" w:fill="auto"/>
            <w:vAlign w:val="center"/>
          </w:tcPr>
          <w:p w14:paraId="7346D5E7">
            <w:pPr>
              <w:pStyle w:val="180"/>
            </w:pPr>
            <w:r>
              <w:rPr>
                <w:rFonts w:ascii="Times New Roman"/>
                <w:szCs w:val="18"/>
              </w:rPr>
              <w:t>砂土</w:t>
            </w:r>
          </w:p>
        </w:tc>
        <w:tc>
          <w:tcPr>
            <w:tcW w:w="1985" w:type="dxa"/>
            <w:shd w:val="clear" w:color="auto" w:fill="auto"/>
          </w:tcPr>
          <w:p w14:paraId="7F88E797">
            <w:pPr>
              <w:pStyle w:val="180"/>
            </w:pPr>
            <w:r>
              <w:rPr>
                <w:rFonts w:hint="eastAsia"/>
              </w:rPr>
              <w:t>砾砂</w:t>
            </w:r>
          </w:p>
        </w:tc>
        <w:tc>
          <w:tcPr>
            <w:tcW w:w="4394" w:type="dxa"/>
            <w:shd w:val="clear" w:color="auto" w:fill="auto"/>
            <w:vAlign w:val="center"/>
          </w:tcPr>
          <w:p w14:paraId="4229829E">
            <w:pPr>
              <w:pStyle w:val="180"/>
              <w:jc w:val="left"/>
            </w:pPr>
            <w:r>
              <w:rPr>
                <w:rFonts w:ascii="Times New Roman"/>
                <w:szCs w:val="18"/>
              </w:rPr>
              <w:t>粒径大于 2mm 的颗粒质量占总质量 25%～50%</w:t>
            </w:r>
          </w:p>
        </w:tc>
        <w:tc>
          <w:tcPr>
            <w:tcW w:w="1831" w:type="dxa"/>
            <w:vMerge w:val="continue"/>
            <w:shd w:val="clear" w:color="auto" w:fill="auto"/>
            <w:vAlign w:val="center"/>
          </w:tcPr>
          <w:p w14:paraId="4D84BD7E">
            <w:pPr>
              <w:pStyle w:val="180"/>
            </w:pPr>
          </w:p>
        </w:tc>
      </w:tr>
      <w:tr w14:paraId="14BB3F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097CA03D">
            <w:pPr>
              <w:pStyle w:val="180"/>
            </w:pPr>
          </w:p>
        </w:tc>
        <w:tc>
          <w:tcPr>
            <w:tcW w:w="1985" w:type="dxa"/>
            <w:shd w:val="clear" w:color="auto" w:fill="auto"/>
          </w:tcPr>
          <w:p w14:paraId="0D1BFFBB">
            <w:pPr>
              <w:pStyle w:val="180"/>
            </w:pPr>
            <w:r>
              <w:rPr>
                <w:rFonts w:hint="eastAsia"/>
              </w:rPr>
              <w:t>粗砂</w:t>
            </w:r>
          </w:p>
        </w:tc>
        <w:tc>
          <w:tcPr>
            <w:tcW w:w="4394" w:type="dxa"/>
            <w:shd w:val="clear" w:color="auto" w:fill="auto"/>
            <w:vAlign w:val="center"/>
          </w:tcPr>
          <w:p w14:paraId="062E6BEC">
            <w:pPr>
              <w:pStyle w:val="180"/>
              <w:jc w:val="left"/>
            </w:pPr>
            <w:r>
              <w:rPr>
                <w:rFonts w:ascii="Times New Roman"/>
                <w:szCs w:val="18"/>
              </w:rPr>
              <w:t>粒径大于 0.5mm 的颗粒质量超过总质量 50%</w:t>
            </w:r>
          </w:p>
        </w:tc>
        <w:tc>
          <w:tcPr>
            <w:tcW w:w="1831" w:type="dxa"/>
            <w:vMerge w:val="continue"/>
            <w:shd w:val="clear" w:color="auto" w:fill="auto"/>
            <w:vAlign w:val="center"/>
          </w:tcPr>
          <w:p w14:paraId="3DEEFF0C">
            <w:pPr>
              <w:pStyle w:val="180"/>
            </w:pPr>
          </w:p>
        </w:tc>
      </w:tr>
      <w:tr w14:paraId="3DFBCF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6E86EB9F">
            <w:pPr>
              <w:pStyle w:val="180"/>
            </w:pPr>
          </w:p>
        </w:tc>
        <w:tc>
          <w:tcPr>
            <w:tcW w:w="1985" w:type="dxa"/>
            <w:shd w:val="clear" w:color="auto" w:fill="auto"/>
          </w:tcPr>
          <w:p w14:paraId="490A24CD">
            <w:pPr>
              <w:pStyle w:val="180"/>
            </w:pPr>
            <w:r>
              <w:rPr>
                <w:rFonts w:hint="eastAsia"/>
              </w:rPr>
              <w:t>中砂</w:t>
            </w:r>
          </w:p>
        </w:tc>
        <w:tc>
          <w:tcPr>
            <w:tcW w:w="4394" w:type="dxa"/>
            <w:shd w:val="clear" w:color="auto" w:fill="auto"/>
            <w:vAlign w:val="center"/>
          </w:tcPr>
          <w:p w14:paraId="2532B7FF">
            <w:pPr>
              <w:pStyle w:val="180"/>
              <w:jc w:val="left"/>
            </w:pPr>
            <w:r>
              <w:rPr>
                <w:rFonts w:ascii="Times New Roman"/>
                <w:szCs w:val="18"/>
              </w:rPr>
              <w:t>粒径大于 0.25mm 的颗粒质量超过总质量 50%</w:t>
            </w:r>
          </w:p>
        </w:tc>
        <w:tc>
          <w:tcPr>
            <w:tcW w:w="1831" w:type="dxa"/>
            <w:vMerge w:val="continue"/>
            <w:shd w:val="clear" w:color="auto" w:fill="auto"/>
            <w:vAlign w:val="center"/>
          </w:tcPr>
          <w:p w14:paraId="25C97E37">
            <w:pPr>
              <w:pStyle w:val="180"/>
            </w:pPr>
          </w:p>
        </w:tc>
      </w:tr>
      <w:tr w14:paraId="3505D2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0062EB05">
            <w:pPr>
              <w:pStyle w:val="180"/>
            </w:pPr>
          </w:p>
        </w:tc>
        <w:tc>
          <w:tcPr>
            <w:tcW w:w="1985" w:type="dxa"/>
            <w:shd w:val="clear" w:color="auto" w:fill="auto"/>
          </w:tcPr>
          <w:p w14:paraId="6DDED117">
            <w:pPr>
              <w:pStyle w:val="180"/>
            </w:pPr>
            <w:r>
              <w:rPr>
                <w:rFonts w:hint="eastAsia"/>
              </w:rPr>
              <w:t>细砂</w:t>
            </w:r>
          </w:p>
        </w:tc>
        <w:tc>
          <w:tcPr>
            <w:tcW w:w="4394" w:type="dxa"/>
            <w:shd w:val="clear" w:color="auto" w:fill="auto"/>
            <w:vAlign w:val="center"/>
          </w:tcPr>
          <w:p w14:paraId="18085AFE">
            <w:pPr>
              <w:pStyle w:val="180"/>
              <w:jc w:val="left"/>
            </w:pPr>
            <w:r>
              <w:rPr>
                <w:rFonts w:ascii="Times New Roman"/>
                <w:szCs w:val="18"/>
              </w:rPr>
              <w:t>粒径大于 0.075mm 的颗粒质量超过总质量 85%</w:t>
            </w:r>
          </w:p>
        </w:tc>
        <w:tc>
          <w:tcPr>
            <w:tcW w:w="1831" w:type="dxa"/>
            <w:vMerge w:val="continue"/>
            <w:shd w:val="clear" w:color="auto" w:fill="auto"/>
            <w:vAlign w:val="center"/>
          </w:tcPr>
          <w:p w14:paraId="139778E6">
            <w:pPr>
              <w:pStyle w:val="180"/>
            </w:pPr>
          </w:p>
        </w:tc>
      </w:tr>
      <w:tr w14:paraId="03710E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B7C2008">
            <w:pPr>
              <w:pStyle w:val="180"/>
            </w:pPr>
          </w:p>
        </w:tc>
        <w:tc>
          <w:tcPr>
            <w:tcW w:w="1985" w:type="dxa"/>
            <w:shd w:val="clear" w:color="auto" w:fill="auto"/>
          </w:tcPr>
          <w:p w14:paraId="23E5B0DE">
            <w:pPr>
              <w:pStyle w:val="180"/>
            </w:pPr>
            <w:r>
              <w:rPr>
                <w:rFonts w:hint="eastAsia"/>
              </w:rPr>
              <w:t>粉砂</w:t>
            </w:r>
          </w:p>
        </w:tc>
        <w:tc>
          <w:tcPr>
            <w:tcW w:w="4394" w:type="dxa"/>
            <w:shd w:val="clear" w:color="auto" w:fill="auto"/>
            <w:vAlign w:val="center"/>
          </w:tcPr>
          <w:p w14:paraId="3DBF05F2">
            <w:pPr>
              <w:pStyle w:val="180"/>
              <w:jc w:val="left"/>
            </w:pPr>
            <w:r>
              <w:rPr>
                <w:rFonts w:ascii="Times New Roman"/>
                <w:szCs w:val="18"/>
              </w:rPr>
              <w:t>粒径大于 0.075mm 的颗粒质量超过总质量 50%</w:t>
            </w:r>
          </w:p>
        </w:tc>
        <w:tc>
          <w:tcPr>
            <w:tcW w:w="1831" w:type="dxa"/>
            <w:vMerge w:val="continue"/>
            <w:shd w:val="clear" w:color="auto" w:fill="auto"/>
            <w:vAlign w:val="center"/>
          </w:tcPr>
          <w:p w14:paraId="6453F1D3">
            <w:pPr>
              <w:pStyle w:val="180"/>
            </w:pPr>
          </w:p>
        </w:tc>
      </w:tr>
      <w:tr w14:paraId="3699EF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restart"/>
            <w:shd w:val="clear" w:color="auto" w:fill="auto"/>
            <w:vAlign w:val="center"/>
          </w:tcPr>
          <w:p w14:paraId="234574EE">
            <w:pPr>
              <w:pStyle w:val="180"/>
            </w:pPr>
            <w:r>
              <w:rPr>
                <w:rFonts w:hint="eastAsia"/>
              </w:rPr>
              <w:t>粘性土</w:t>
            </w:r>
          </w:p>
        </w:tc>
        <w:tc>
          <w:tcPr>
            <w:tcW w:w="1985" w:type="dxa"/>
            <w:shd w:val="clear" w:color="auto" w:fill="auto"/>
          </w:tcPr>
          <w:p w14:paraId="3AA385AF">
            <w:pPr>
              <w:pStyle w:val="180"/>
            </w:pPr>
            <w:r>
              <w:rPr>
                <w:rFonts w:hint="eastAsia"/>
              </w:rPr>
              <w:t>粉土</w:t>
            </w:r>
          </w:p>
        </w:tc>
        <w:tc>
          <w:tcPr>
            <w:tcW w:w="4394" w:type="dxa"/>
            <w:vMerge w:val="restart"/>
            <w:shd w:val="clear" w:color="auto" w:fill="auto"/>
            <w:vAlign w:val="center"/>
          </w:tcPr>
          <w:p w14:paraId="2E4C5F65">
            <w:pPr>
              <w:pStyle w:val="180"/>
              <w:jc w:val="left"/>
            </w:pPr>
            <w:r>
              <w:rPr>
                <w:rFonts w:hint="eastAsia"/>
              </w:rPr>
              <w:t>粒径大于 0.075mm 的颗粒质量不超过总质量的 50%</w:t>
            </w:r>
          </w:p>
        </w:tc>
        <w:tc>
          <w:tcPr>
            <w:tcW w:w="1831" w:type="dxa"/>
            <w:shd w:val="clear" w:color="auto" w:fill="auto"/>
          </w:tcPr>
          <w:p w14:paraId="42F470D8">
            <w:pPr>
              <w:pStyle w:val="180"/>
              <w:rPr>
                <w:rFonts w:hAnsi="宋体"/>
              </w:rPr>
            </w:pPr>
            <w:r>
              <w:rPr>
                <w:rFonts w:hint="eastAsia" w:hAnsi="宋体"/>
              </w:rPr>
              <w:t>≤10</w:t>
            </w:r>
          </w:p>
        </w:tc>
      </w:tr>
      <w:tr w14:paraId="4316DE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4A830416">
            <w:pPr>
              <w:pStyle w:val="180"/>
            </w:pPr>
          </w:p>
        </w:tc>
        <w:tc>
          <w:tcPr>
            <w:tcW w:w="1985" w:type="dxa"/>
            <w:shd w:val="clear" w:color="auto" w:fill="auto"/>
          </w:tcPr>
          <w:p w14:paraId="1F409184">
            <w:pPr>
              <w:pStyle w:val="180"/>
            </w:pPr>
            <w:r>
              <w:rPr>
                <w:rFonts w:hint="eastAsia"/>
              </w:rPr>
              <w:t>粉质粘土</w:t>
            </w:r>
          </w:p>
        </w:tc>
        <w:tc>
          <w:tcPr>
            <w:tcW w:w="4394" w:type="dxa"/>
            <w:vMerge w:val="continue"/>
            <w:shd w:val="clear" w:color="auto" w:fill="auto"/>
            <w:vAlign w:val="center"/>
          </w:tcPr>
          <w:p w14:paraId="0B1B4069">
            <w:pPr>
              <w:pStyle w:val="180"/>
            </w:pPr>
          </w:p>
        </w:tc>
        <w:tc>
          <w:tcPr>
            <w:tcW w:w="1831" w:type="dxa"/>
            <w:shd w:val="clear" w:color="auto" w:fill="auto"/>
          </w:tcPr>
          <w:p w14:paraId="2F82AC40">
            <w:pPr>
              <w:pStyle w:val="180"/>
              <w:rPr>
                <w:rFonts w:hAnsi="宋体"/>
              </w:rPr>
            </w:pPr>
            <w:r>
              <w:rPr>
                <w:rFonts w:hint="eastAsia" w:hAnsi="宋体"/>
              </w:rPr>
              <w:t>10～17</w:t>
            </w:r>
          </w:p>
        </w:tc>
      </w:tr>
      <w:tr w14:paraId="4D4257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tcBorders>
              <w:bottom w:val="single" w:color="auto" w:sz="8" w:space="0"/>
            </w:tcBorders>
            <w:shd w:val="clear" w:color="auto" w:fill="auto"/>
            <w:vAlign w:val="center"/>
          </w:tcPr>
          <w:p w14:paraId="5F5936A2">
            <w:pPr>
              <w:pStyle w:val="180"/>
            </w:pPr>
          </w:p>
        </w:tc>
        <w:tc>
          <w:tcPr>
            <w:tcW w:w="1985" w:type="dxa"/>
            <w:tcBorders>
              <w:bottom w:val="single" w:color="auto" w:sz="8" w:space="0"/>
            </w:tcBorders>
            <w:shd w:val="clear" w:color="auto" w:fill="auto"/>
          </w:tcPr>
          <w:p w14:paraId="7C91C894">
            <w:pPr>
              <w:pStyle w:val="180"/>
            </w:pPr>
            <w:r>
              <w:rPr>
                <w:rFonts w:hint="eastAsia"/>
              </w:rPr>
              <w:t>粘土</w:t>
            </w:r>
          </w:p>
        </w:tc>
        <w:tc>
          <w:tcPr>
            <w:tcW w:w="4394" w:type="dxa"/>
            <w:vMerge w:val="continue"/>
            <w:tcBorders>
              <w:bottom w:val="single" w:color="auto" w:sz="8" w:space="0"/>
            </w:tcBorders>
            <w:shd w:val="clear" w:color="auto" w:fill="auto"/>
            <w:vAlign w:val="center"/>
          </w:tcPr>
          <w:p w14:paraId="7FC8CCE6">
            <w:pPr>
              <w:pStyle w:val="180"/>
            </w:pPr>
          </w:p>
        </w:tc>
        <w:tc>
          <w:tcPr>
            <w:tcW w:w="1831" w:type="dxa"/>
            <w:tcBorders>
              <w:bottom w:val="single" w:color="auto" w:sz="8" w:space="0"/>
            </w:tcBorders>
            <w:shd w:val="clear" w:color="auto" w:fill="auto"/>
          </w:tcPr>
          <w:p w14:paraId="55698C90">
            <w:pPr>
              <w:pStyle w:val="180"/>
              <w:rPr>
                <w:rFonts w:hAnsi="宋体"/>
              </w:rPr>
            </w:pPr>
            <w:r>
              <w:rPr>
                <w:rFonts w:hAnsi="宋体"/>
              </w:rPr>
              <w:t>＞17</w:t>
            </w:r>
          </w:p>
        </w:tc>
      </w:tr>
      <w:tr w14:paraId="0F3B04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4"/>
            <w:tcBorders>
              <w:top w:val="single" w:color="auto" w:sz="8" w:space="0"/>
              <w:bottom w:val="single" w:color="auto" w:sz="8" w:space="0"/>
            </w:tcBorders>
            <w:shd w:val="clear" w:color="auto" w:fill="auto"/>
            <w:vAlign w:val="center"/>
          </w:tcPr>
          <w:p w14:paraId="0528F491">
            <w:pPr>
              <w:pStyle w:val="181"/>
            </w:pPr>
            <w:r>
              <w:rPr>
                <w:rFonts w:hint="eastAsia"/>
              </w:rPr>
              <w:t>定名时应根据颗粒级配由大到小以最先符合者确定。</w:t>
            </w:r>
          </w:p>
        </w:tc>
      </w:tr>
    </w:tbl>
    <w:p w14:paraId="5B5C2F85">
      <w:pPr>
        <w:pStyle w:val="58"/>
        <w:ind w:firstLine="420"/>
      </w:pPr>
      <w:r>
        <w:rPr>
          <w:rFonts w:hint="eastAsia"/>
        </w:rPr>
        <w:t>根据土层的结构，对土层进行如下划分：</w:t>
      </w:r>
    </w:p>
    <w:p w14:paraId="7A97D828">
      <w:pPr>
        <w:pStyle w:val="176"/>
        <w:numPr>
          <w:ilvl w:val="0"/>
          <w:numId w:val="54"/>
        </w:numPr>
      </w:pPr>
      <w:r>
        <w:rPr>
          <w:rFonts w:hint="eastAsia"/>
        </w:rPr>
        <w:t>当土层厚度大于0.5m 时，宜单独分层。对同一土层中相间呈韵律沉积，当薄层与厚层的厚度 比大于1/3 时，宜定为“互层”；厚度比为1/10～1/3 时，宜定为“夹层”；夹层厚度比小于1/10 的 土层，且多次出现时，宜定为“夹薄层”。</w:t>
      </w:r>
    </w:p>
    <w:p w14:paraId="2E4C6461">
      <w:pPr>
        <w:pStyle w:val="176"/>
      </w:pPr>
      <w:r>
        <w:rPr>
          <w:rFonts w:hint="eastAsia"/>
        </w:rPr>
        <w:t>根据土层中粘性土层、砂土层、碎石土层的组合情况，划分土层结构类型:单层结构、双层结 构、多层结构。</w:t>
      </w:r>
    </w:p>
    <w:p w14:paraId="43B39BCE">
      <w:pPr>
        <w:pStyle w:val="111"/>
        <w:numPr>
          <w:ilvl w:val="1"/>
          <w:numId w:val="55"/>
        </w:numPr>
      </w:pPr>
      <w:r>
        <w:rPr>
          <w:rFonts w:hint="eastAsia"/>
        </w:rPr>
        <w:t>单层结构：土层由一种类型的土组成，常见的有砂土、粉质粘土、粘土；</w:t>
      </w:r>
    </w:p>
    <w:p w14:paraId="5C6CFB03">
      <w:pPr>
        <w:pStyle w:val="111"/>
      </w:pPr>
      <w:r>
        <w:rPr>
          <w:rFonts w:hint="eastAsia"/>
        </w:rPr>
        <w:t>双层结构：土层分上下两层并由不同类型的土组成，从上到下常见的有“粘性土-砂土”、“砂 土-粘性土”；</w:t>
      </w:r>
    </w:p>
    <w:p w14:paraId="5BE67F60">
      <w:pPr>
        <w:pStyle w:val="111"/>
      </w:pPr>
      <w:r>
        <w:rPr>
          <w:rFonts w:hint="eastAsia"/>
        </w:rPr>
        <w:t>多层结构：土层由三层以上不同类型土组成，从上到下常见的有“粘性土-粘性土砂土互层-粘性土”。</w:t>
      </w:r>
    </w:p>
    <w:p w14:paraId="19D31447">
      <w:pPr>
        <w:pStyle w:val="176"/>
        <w:numPr>
          <w:ilvl w:val="0"/>
          <w:numId w:val="0"/>
        </w:numPr>
        <w:ind w:left="851" w:hanging="426"/>
      </w:pPr>
    </w:p>
    <w:p w14:paraId="165121E3">
      <w:pPr>
        <w:pStyle w:val="176"/>
        <w:numPr>
          <w:ilvl w:val="0"/>
          <w:numId w:val="0"/>
        </w:numPr>
        <w:ind w:left="851" w:hanging="426"/>
      </w:pPr>
    </w:p>
    <w:p w14:paraId="6BC976CB">
      <w:pPr>
        <w:pStyle w:val="176"/>
        <w:numPr>
          <w:ilvl w:val="0"/>
          <w:numId w:val="0"/>
        </w:numPr>
        <w:ind w:left="851" w:hanging="426"/>
      </w:pPr>
    </w:p>
    <w:p w14:paraId="582BF6B1">
      <w:pPr>
        <w:pStyle w:val="176"/>
        <w:numPr>
          <w:ilvl w:val="0"/>
          <w:numId w:val="0"/>
        </w:numPr>
        <w:ind w:left="851" w:hanging="426"/>
      </w:pPr>
    </w:p>
    <w:p w14:paraId="5F49A568">
      <w:pPr>
        <w:pStyle w:val="176"/>
        <w:numPr>
          <w:ilvl w:val="0"/>
          <w:numId w:val="0"/>
        </w:numPr>
        <w:ind w:left="851" w:hanging="426"/>
      </w:pPr>
    </w:p>
    <w:p w14:paraId="72C52596">
      <w:pPr>
        <w:pStyle w:val="80"/>
        <w:spacing w:before="156" w:after="156"/>
      </w:pPr>
      <w:bookmarkStart w:id="310" w:name="_Toc168321619"/>
      <w:bookmarkStart w:id="311" w:name="_Toc168092295"/>
      <w:bookmarkStart w:id="312" w:name="_Toc176194168"/>
      <w:bookmarkStart w:id="313" w:name="_Toc178172372"/>
      <w:r>
        <w:rPr>
          <w:rFonts w:hint="eastAsia"/>
        </w:rPr>
        <w:t>岩体的类型与结构</w:t>
      </w:r>
      <w:bookmarkEnd w:id="310"/>
      <w:bookmarkEnd w:id="311"/>
      <w:bookmarkEnd w:id="312"/>
      <w:bookmarkEnd w:id="313"/>
    </w:p>
    <w:p w14:paraId="522C3E8A">
      <w:pPr>
        <w:pStyle w:val="79"/>
        <w:spacing w:before="156" w:after="156"/>
      </w:pPr>
      <w:r>
        <w:rPr>
          <w:rFonts w:hint="eastAsia"/>
        </w:rPr>
        <w:t>岩体结构类型划分</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41"/>
        <w:gridCol w:w="1134"/>
        <w:gridCol w:w="2268"/>
        <w:gridCol w:w="3118"/>
        <w:gridCol w:w="1973"/>
      </w:tblGrid>
      <w:tr w14:paraId="0F662D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975" w:type="dxa"/>
            <w:gridSpan w:val="2"/>
            <w:tcBorders>
              <w:top w:val="single" w:color="auto" w:sz="8" w:space="0"/>
              <w:bottom w:val="single" w:color="auto" w:sz="8" w:space="0"/>
            </w:tcBorders>
            <w:shd w:val="clear" w:color="auto" w:fill="auto"/>
            <w:vAlign w:val="center"/>
          </w:tcPr>
          <w:p w14:paraId="39146E60">
            <w:pPr>
              <w:pStyle w:val="180"/>
              <w:rPr>
                <w:szCs w:val="18"/>
              </w:rPr>
            </w:pPr>
            <w:r>
              <w:rPr>
                <w:rFonts w:ascii="Times New Roman"/>
                <w:szCs w:val="18"/>
              </w:rPr>
              <w:t>岩体结构类型</w:t>
            </w:r>
          </w:p>
        </w:tc>
        <w:tc>
          <w:tcPr>
            <w:tcW w:w="2268" w:type="dxa"/>
            <w:tcBorders>
              <w:top w:val="single" w:color="auto" w:sz="8" w:space="0"/>
              <w:bottom w:val="single" w:color="auto" w:sz="8" w:space="0"/>
            </w:tcBorders>
            <w:shd w:val="clear" w:color="auto" w:fill="auto"/>
            <w:vAlign w:val="center"/>
          </w:tcPr>
          <w:p w14:paraId="5FDB2B4B">
            <w:pPr>
              <w:pStyle w:val="180"/>
              <w:rPr>
                <w:szCs w:val="18"/>
              </w:rPr>
            </w:pPr>
            <w:r>
              <w:rPr>
                <w:rFonts w:ascii="Times New Roman"/>
                <w:szCs w:val="18"/>
              </w:rPr>
              <w:t>地质背景</w:t>
            </w:r>
          </w:p>
        </w:tc>
        <w:tc>
          <w:tcPr>
            <w:tcW w:w="3118" w:type="dxa"/>
            <w:tcBorders>
              <w:top w:val="single" w:color="auto" w:sz="8" w:space="0"/>
              <w:bottom w:val="single" w:color="auto" w:sz="8" w:space="0"/>
            </w:tcBorders>
            <w:shd w:val="clear" w:color="auto" w:fill="auto"/>
            <w:vAlign w:val="center"/>
          </w:tcPr>
          <w:p w14:paraId="7618D4F4">
            <w:pPr>
              <w:pStyle w:val="180"/>
              <w:rPr>
                <w:szCs w:val="18"/>
              </w:rPr>
            </w:pPr>
            <w:r>
              <w:rPr>
                <w:rFonts w:ascii="Times New Roman"/>
                <w:szCs w:val="18"/>
              </w:rPr>
              <w:t>结构面特征</w:t>
            </w:r>
          </w:p>
        </w:tc>
        <w:tc>
          <w:tcPr>
            <w:tcW w:w="1973" w:type="dxa"/>
            <w:tcBorders>
              <w:top w:val="single" w:color="auto" w:sz="8" w:space="0"/>
              <w:bottom w:val="single" w:color="auto" w:sz="8" w:space="0"/>
            </w:tcBorders>
            <w:shd w:val="clear" w:color="auto" w:fill="auto"/>
            <w:vAlign w:val="center"/>
          </w:tcPr>
          <w:p w14:paraId="31AE8662">
            <w:pPr>
              <w:pStyle w:val="180"/>
              <w:rPr>
                <w:szCs w:val="18"/>
              </w:rPr>
            </w:pPr>
            <w:r>
              <w:rPr>
                <w:rFonts w:ascii="Times New Roman"/>
                <w:szCs w:val="18"/>
              </w:rPr>
              <w:t>结构体特征</w:t>
            </w:r>
          </w:p>
        </w:tc>
      </w:tr>
      <w:tr w14:paraId="30892D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tcBorders>
              <w:top w:val="single" w:color="auto" w:sz="8" w:space="0"/>
            </w:tcBorders>
            <w:shd w:val="clear" w:color="auto" w:fill="auto"/>
            <w:vAlign w:val="center"/>
          </w:tcPr>
          <w:p w14:paraId="5DE2CD4F">
            <w:pPr>
              <w:pStyle w:val="180"/>
            </w:pPr>
            <w:r>
              <w:rPr>
                <w:rFonts w:ascii="Times New Roman"/>
                <w:szCs w:val="21"/>
              </w:rPr>
              <w:t>整体块状结构</w:t>
            </w:r>
          </w:p>
        </w:tc>
        <w:tc>
          <w:tcPr>
            <w:tcW w:w="1134" w:type="dxa"/>
            <w:tcBorders>
              <w:top w:val="single" w:color="auto" w:sz="8" w:space="0"/>
            </w:tcBorders>
            <w:shd w:val="clear" w:color="auto" w:fill="auto"/>
            <w:vAlign w:val="center"/>
          </w:tcPr>
          <w:p w14:paraId="60EB4077">
            <w:pPr>
              <w:pStyle w:val="180"/>
            </w:pPr>
            <w:r>
              <w:rPr>
                <w:rFonts w:ascii="Times New Roman"/>
                <w:szCs w:val="21"/>
              </w:rPr>
              <w:t>整体结构</w:t>
            </w:r>
          </w:p>
        </w:tc>
        <w:tc>
          <w:tcPr>
            <w:tcW w:w="2268" w:type="dxa"/>
            <w:tcBorders>
              <w:top w:val="single" w:color="auto" w:sz="8" w:space="0"/>
            </w:tcBorders>
            <w:shd w:val="clear" w:color="auto" w:fill="auto"/>
            <w:vAlign w:val="center"/>
          </w:tcPr>
          <w:p w14:paraId="3C14FD3B">
            <w:pPr>
              <w:pStyle w:val="180"/>
              <w:jc w:val="left"/>
            </w:pPr>
            <w:r>
              <w:rPr>
                <w:rFonts w:ascii="Times New Roman"/>
                <w:szCs w:val="21"/>
              </w:rPr>
              <w:t>岩性单一，构造变形轻微的巨厚层沉积岩、变质岩和火山熔岩，火成侵入岩</w:t>
            </w:r>
          </w:p>
        </w:tc>
        <w:tc>
          <w:tcPr>
            <w:tcW w:w="3118" w:type="dxa"/>
            <w:tcBorders>
              <w:top w:val="single" w:color="auto" w:sz="8" w:space="0"/>
            </w:tcBorders>
            <w:shd w:val="clear" w:color="auto" w:fill="auto"/>
            <w:vAlign w:val="center"/>
          </w:tcPr>
          <w:p w14:paraId="0C439EC6">
            <w:pPr>
              <w:pStyle w:val="180"/>
              <w:jc w:val="left"/>
            </w:pPr>
            <w:r>
              <w:rPr>
                <w:rFonts w:ascii="Times New Roman"/>
                <w:szCs w:val="21"/>
              </w:rPr>
              <w:t>结构面少，一般不超过3组，延续性极差，多成闭合状态，无填充或含少量碎屑</w:t>
            </w:r>
          </w:p>
        </w:tc>
        <w:tc>
          <w:tcPr>
            <w:tcW w:w="1973" w:type="dxa"/>
            <w:tcBorders>
              <w:top w:val="single" w:color="auto" w:sz="8" w:space="0"/>
            </w:tcBorders>
            <w:shd w:val="clear" w:color="auto" w:fill="auto"/>
            <w:vAlign w:val="center"/>
          </w:tcPr>
          <w:p w14:paraId="192EB958">
            <w:pPr>
              <w:pStyle w:val="180"/>
              <w:jc w:val="left"/>
            </w:pPr>
            <w:r>
              <w:rPr>
                <w:rFonts w:ascii="Times New Roman"/>
                <w:szCs w:val="21"/>
              </w:rPr>
              <w:t>巨型块状</w:t>
            </w:r>
          </w:p>
        </w:tc>
      </w:tr>
      <w:tr w14:paraId="00D896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199ABB23">
            <w:pPr>
              <w:pStyle w:val="180"/>
            </w:pPr>
          </w:p>
        </w:tc>
        <w:tc>
          <w:tcPr>
            <w:tcW w:w="1134" w:type="dxa"/>
            <w:shd w:val="clear" w:color="auto" w:fill="auto"/>
            <w:vAlign w:val="center"/>
          </w:tcPr>
          <w:p w14:paraId="6009E5FC">
            <w:pPr>
              <w:pStyle w:val="180"/>
            </w:pPr>
            <w:r>
              <w:rPr>
                <w:rFonts w:ascii="Times New Roman"/>
                <w:szCs w:val="21"/>
              </w:rPr>
              <w:t>块状结构</w:t>
            </w:r>
          </w:p>
        </w:tc>
        <w:tc>
          <w:tcPr>
            <w:tcW w:w="2268" w:type="dxa"/>
            <w:shd w:val="clear" w:color="auto" w:fill="auto"/>
            <w:vAlign w:val="center"/>
          </w:tcPr>
          <w:p w14:paraId="76C8DE31">
            <w:pPr>
              <w:pStyle w:val="180"/>
              <w:jc w:val="left"/>
            </w:pPr>
            <w:r>
              <w:rPr>
                <w:rFonts w:ascii="Times New Roman"/>
                <w:szCs w:val="21"/>
              </w:rPr>
              <w:t>岩性较单一，受轻微构造作用的巨厚层沉积岩和变质岩、火成岩侵入体</w:t>
            </w:r>
          </w:p>
        </w:tc>
        <w:tc>
          <w:tcPr>
            <w:tcW w:w="3118" w:type="dxa"/>
            <w:shd w:val="clear" w:color="auto" w:fill="auto"/>
            <w:vAlign w:val="center"/>
          </w:tcPr>
          <w:p w14:paraId="1301025A">
            <w:pPr>
              <w:pStyle w:val="180"/>
              <w:jc w:val="left"/>
            </w:pPr>
            <w:r>
              <w:rPr>
                <w:rFonts w:ascii="Times New Roman"/>
                <w:szCs w:val="21"/>
              </w:rPr>
              <w:t>结构面一般2组～3组，裂隙延续性极差，多成闭合状态，层面有一定结合力</w:t>
            </w:r>
          </w:p>
        </w:tc>
        <w:tc>
          <w:tcPr>
            <w:tcW w:w="1973" w:type="dxa"/>
            <w:shd w:val="clear" w:color="auto" w:fill="auto"/>
            <w:vAlign w:val="center"/>
          </w:tcPr>
          <w:p w14:paraId="28C3F69C">
            <w:pPr>
              <w:pStyle w:val="180"/>
              <w:jc w:val="left"/>
            </w:pPr>
            <w:r>
              <w:rPr>
                <w:rFonts w:ascii="Times New Roman"/>
                <w:szCs w:val="21"/>
              </w:rPr>
              <w:t>块状、菱形块状</w:t>
            </w:r>
          </w:p>
        </w:tc>
      </w:tr>
      <w:tr w14:paraId="66D57B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shd w:val="clear" w:color="auto" w:fill="auto"/>
            <w:vAlign w:val="center"/>
          </w:tcPr>
          <w:p w14:paraId="10068F46">
            <w:pPr>
              <w:pStyle w:val="180"/>
            </w:pPr>
            <w:r>
              <w:rPr>
                <w:rFonts w:ascii="Times New Roman"/>
                <w:szCs w:val="21"/>
              </w:rPr>
              <w:t>层状结构</w:t>
            </w:r>
          </w:p>
        </w:tc>
        <w:tc>
          <w:tcPr>
            <w:tcW w:w="1134" w:type="dxa"/>
            <w:shd w:val="clear" w:color="auto" w:fill="auto"/>
            <w:vAlign w:val="center"/>
          </w:tcPr>
          <w:p w14:paraId="66B3301E">
            <w:pPr>
              <w:pStyle w:val="180"/>
            </w:pPr>
            <w:r>
              <w:rPr>
                <w:rFonts w:ascii="Times New Roman"/>
                <w:szCs w:val="21"/>
              </w:rPr>
              <w:t>层状结构</w:t>
            </w:r>
          </w:p>
        </w:tc>
        <w:tc>
          <w:tcPr>
            <w:tcW w:w="2268" w:type="dxa"/>
            <w:shd w:val="clear" w:color="auto" w:fill="auto"/>
            <w:vAlign w:val="center"/>
          </w:tcPr>
          <w:p w14:paraId="0349E361">
            <w:pPr>
              <w:pStyle w:val="180"/>
              <w:jc w:val="left"/>
            </w:pPr>
            <w:r>
              <w:rPr>
                <w:rFonts w:ascii="Times New Roman"/>
                <w:szCs w:val="21"/>
              </w:rPr>
              <w:t>受构造破坏或较轻的中厚层(大于30cm)岩体</w:t>
            </w:r>
          </w:p>
        </w:tc>
        <w:tc>
          <w:tcPr>
            <w:tcW w:w="3118" w:type="dxa"/>
            <w:shd w:val="clear" w:color="auto" w:fill="auto"/>
            <w:vAlign w:val="center"/>
          </w:tcPr>
          <w:p w14:paraId="44A4AE65">
            <w:pPr>
              <w:pStyle w:val="180"/>
              <w:jc w:val="left"/>
            </w:pPr>
            <w:r>
              <w:rPr>
                <w:rFonts w:ascii="Times New Roman"/>
                <w:szCs w:val="21"/>
              </w:rPr>
              <w:t>结构面2组～3组，裂隙延续性极差，有时也有软弱夹层或层间错动面，其延续性较好，层间结合力较差</w:t>
            </w:r>
          </w:p>
        </w:tc>
        <w:tc>
          <w:tcPr>
            <w:tcW w:w="1973" w:type="dxa"/>
            <w:shd w:val="clear" w:color="auto" w:fill="auto"/>
            <w:vAlign w:val="center"/>
          </w:tcPr>
          <w:p w14:paraId="7CC32E55">
            <w:pPr>
              <w:pStyle w:val="180"/>
              <w:jc w:val="left"/>
            </w:pPr>
            <w:r>
              <w:rPr>
                <w:rFonts w:ascii="Times New Roman"/>
                <w:szCs w:val="21"/>
              </w:rPr>
              <w:t>块状、柱状、厚板状</w:t>
            </w:r>
          </w:p>
        </w:tc>
      </w:tr>
      <w:tr w14:paraId="556629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26E8F027">
            <w:pPr>
              <w:pStyle w:val="180"/>
            </w:pPr>
          </w:p>
        </w:tc>
        <w:tc>
          <w:tcPr>
            <w:tcW w:w="1134" w:type="dxa"/>
            <w:shd w:val="clear" w:color="auto" w:fill="auto"/>
            <w:vAlign w:val="center"/>
          </w:tcPr>
          <w:p w14:paraId="5151C934">
            <w:pPr>
              <w:pStyle w:val="180"/>
            </w:pPr>
            <w:r>
              <w:rPr>
                <w:rFonts w:ascii="Times New Roman"/>
                <w:szCs w:val="21"/>
              </w:rPr>
              <w:t>薄层状结构</w:t>
            </w:r>
          </w:p>
        </w:tc>
        <w:tc>
          <w:tcPr>
            <w:tcW w:w="2268" w:type="dxa"/>
            <w:shd w:val="clear" w:color="auto" w:fill="auto"/>
            <w:vAlign w:val="center"/>
          </w:tcPr>
          <w:p w14:paraId="49A0C334">
            <w:pPr>
              <w:pStyle w:val="180"/>
              <w:jc w:val="left"/>
            </w:pPr>
            <w:r>
              <w:rPr>
                <w:rFonts w:ascii="Times New Roman"/>
                <w:szCs w:val="21"/>
              </w:rPr>
              <w:t>厚度小于30cm,在构造作用下发生强烈褶曲和层间错动</w:t>
            </w:r>
          </w:p>
        </w:tc>
        <w:tc>
          <w:tcPr>
            <w:tcW w:w="3118" w:type="dxa"/>
            <w:shd w:val="clear" w:color="auto" w:fill="auto"/>
            <w:vAlign w:val="center"/>
          </w:tcPr>
          <w:p w14:paraId="376D90A3">
            <w:pPr>
              <w:pStyle w:val="180"/>
              <w:jc w:val="left"/>
            </w:pPr>
            <w:r>
              <w:rPr>
                <w:rFonts w:ascii="Times New Roman"/>
                <w:szCs w:val="21"/>
              </w:rPr>
              <w:t>层理、片理发达，原生软弱夹层、层间错动和小断层不时出现，结构面多为泥膜、碎屑和泥质充填</w:t>
            </w:r>
          </w:p>
        </w:tc>
        <w:tc>
          <w:tcPr>
            <w:tcW w:w="1973" w:type="dxa"/>
            <w:shd w:val="clear" w:color="auto" w:fill="auto"/>
            <w:vAlign w:val="center"/>
          </w:tcPr>
          <w:p w14:paraId="01528287">
            <w:pPr>
              <w:pStyle w:val="180"/>
              <w:jc w:val="left"/>
            </w:pPr>
            <w:r>
              <w:rPr>
                <w:rFonts w:ascii="Times New Roman"/>
                <w:szCs w:val="21"/>
              </w:rPr>
              <w:t>板状、薄板状</w:t>
            </w:r>
          </w:p>
        </w:tc>
      </w:tr>
      <w:tr w14:paraId="56AD86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shd w:val="clear" w:color="auto" w:fill="auto"/>
            <w:vAlign w:val="center"/>
          </w:tcPr>
          <w:p w14:paraId="4B4726D3">
            <w:pPr>
              <w:pStyle w:val="180"/>
            </w:pPr>
            <w:r>
              <w:rPr>
                <w:rFonts w:ascii="Times New Roman"/>
                <w:szCs w:val="21"/>
              </w:rPr>
              <w:t>碎裂结构</w:t>
            </w:r>
          </w:p>
        </w:tc>
        <w:tc>
          <w:tcPr>
            <w:tcW w:w="1134" w:type="dxa"/>
            <w:shd w:val="clear" w:color="auto" w:fill="auto"/>
            <w:vAlign w:val="center"/>
          </w:tcPr>
          <w:p w14:paraId="03A952C9">
            <w:pPr>
              <w:pStyle w:val="180"/>
            </w:pPr>
            <w:r>
              <w:rPr>
                <w:rFonts w:ascii="Times New Roman"/>
                <w:szCs w:val="21"/>
              </w:rPr>
              <w:t>镶嵌结构</w:t>
            </w:r>
          </w:p>
        </w:tc>
        <w:tc>
          <w:tcPr>
            <w:tcW w:w="2268" w:type="dxa"/>
            <w:shd w:val="clear" w:color="auto" w:fill="auto"/>
            <w:vAlign w:val="center"/>
          </w:tcPr>
          <w:p w14:paraId="11D98C3D">
            <w:pPr>
              <w:pStyle w:val="180"/>
              <w:jc w:val="left"/>
            </w:pPr>
            <w:r>
              <w:rPr>
                <w:rFonts w:ascii="Times New Roman"/>
                <w:szCs w:val="21"/>
              </w:rPr>
              <w:t>一般发育于脆硬岩层中，结构组数较多，密度较大</w:t>
            </w:r>
          </w:p>
        </w:tc>
        <w:tc>
          <w:tcPr>
            <w:tcW w:w="3118" w:type="dxa"/>
            <w:shd w:val="clear" w:color="auto" w:fill="auto"/>
            <w:vAlign w:val="center"/>
          </w:tcPr>
          <w:p w14:paraId="61E5C1DF">
            <w:pPr>
              <w:pStyle w:val="180"/>
              <w:jc w:val="left"/>
            </w:pPr>
            <w:r>
              <w:rPr>
                <w:rFonts w:ascii="Times New Roman"/>
                <w:szCs w:val="21"/>
              </w:rPr>
              <w:t>以规模不大的结构面为主，但组数多，密度大，延续性差，闭合无填充或充填少量碎屑</w:t>
            </w:r>
          </w:p>
        </w:tc>
        <w:tc>
          <w:tcPr>
            <w:tcW w:w="1973" w:type="dxa"/>
            <w:shd w:val="clear" w:color="auto" w:fill="auto"/>
            <w:vAlign w:val="center"/>
          </w:tcPr>
          <w:p w14:paraId="464B6D51">
            <w:pPr>
              <w:pStyle w:val="180"/>
              <w:jc w:val="left"/>
            </w:pPr>
            <w:r>
              <w:rPr>
                <w:rFonts w:ascii="Times New Roman"/>
                <w:szCs w:val="21"/>
              </w:rPr>
              <w:t>形状不规则，但菱角显著</w:t>
            </w:r>
          </w:p>
        </w:tc>
      </w:tr>
      <w:tr w14:paraId="14AFD3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59FD9C4F">
            <w:pPr>
              <w:pStyle w:val="180"/>
            </w:pPr>
          </w:p>
        </w:tc>
        <w:tc>
          <w:tcPr>
            <w:tcW w:w="1134" w:type="dxa"/>
            <w:shd w:val="clear" w:color="auto" w:fill="auto"/>
            <w:vAlign w:val="center"/>
          </w:tcPr>
          <w:p w14:paraId="716263E1">
            <w:pPr>
              <w:pStyle w:val="180"/>
            </w:pPr>
            <w:r>
              <w:rPr>
                <w:rFonts w:ascii="Times New Roman"/>
                <w:szCs w:val="21"/>
              </w:rPr>
              <w:t>层状碎裂结构</w:t>
            </w:r>
          </w:p>
        </w:tc>
        <w:tc>
          <w:tcPr>
            <w:tcW w:w="2268" w:type="dxa"/>
            <w:shd w:val="clear" w:color="auto" w:fill="auto"/>
            <w:vAlign w:val="center"/>
          </w:tcPr>
          <w:p w14:paraId="669E9F21">
            <w:pPr>
              <w:pStyle w:val="180"/>
              <w:jc w:val="left"/>
            </w:pPr>
            <w:r>
              <w:rPr>
                <w:rFonts w:ascii="Times New Roman"/>
                <w:szCs w:val="21"/>
              </w:rPr>
              <w:t>受构造裂隙切割的层状岩体</w:t>
            </w:r>
          </w:p>
        </w:tc>
        <w:tc>
          <w:tcPr>
            <w:tcW w:w="3118" w:type="dxa"/>
            <w:shd w:val="clear" w:color="auto" w:fill="auto"/>
            <w:vAlign w:val="center"/>
          </w:tcPr>
          <w:p w14:paraId="6E4BA082">
            <w:pPr>
              <w:pStyle w:val="180"/>
              <w:jc w:val="left"/>
            </w:pPr>
            <w:r>
              <w:rPr>
                <w:rFonts w:ascii="Times New Roman"/>
                <w:szCs w:val="21"/>
              </w:rPr>
              <w:t>以层面、软弱夹层和层间错动面等为主，构造裂隙甚发达</w:t>
            </w:r>
          </w:p>
        </w:tc>
        <w:tc>
          <w:tcPr>
            <w:tcW w:w="1973" w:type="dxa"/>
            <w:shd w:val="clear" w:color="auto" w:fill="auto"/>
            <w:vAlign w:val="center"/>
          </w:tcPr>
          <w:p w14:paraId="66598E2A">
            <w:pPr>
              <w:pStyle w:val="180"/>
              <w:jc w:val="left"/>
            </w:pPr>
            <w:r>
              <w:rPr>
                <w:rFonts w:ascii="Times New Roman"/>
                <w:szCs w:val="21"/>
              </w:rPr>
              <w:t>以碎块状、板状、短柱状为主</w:t>
            </w:r>
          </w:p>
        </w:tc>
      </w:tr>
      <w:tr w14:paraId="4B93D0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38585556">
            <w:pPr>
              <w:pStyle w:val="180"/>
            </w:pPr>
          </w:p>
        </w:tc>
        <w:tc>
          <w:tcPr>
            <w:tcW w:w="1134" w:type="dxa"/>
            <w:shd w:val="clear" w:color="auto" w:fill="auto"/>
            <w:vAlign w:val="center"/>
          </w:tcPr>
          <w:p w14:paraId="2FCE94A4">
            <w:pPr>
              <w:pStyle w:val="180"/>
            </w:pPr>
            <w:r>
              <w:rPr>
                <w:rFonts w:ascii="Times New Roman"/>
                <w:szCs w:val="21"/>
              </w:rPr>
              <w:t>碎裂结构</w:t>
            </w:r>
          </w:p>
        </w:tc>
        <w:tc>
          <w:tcPr>
            <w:tcW w:w="2268" w:type="dxa"/>
            <w:shd w:val="clear" w:color="auto" w:fill="auto"/>
            <w:vAlign w:val="center"/>
          </w:tcPr>
          <w:p w14:paraId="23292D99">
            <w:pPr>
              <w:pStyle w:val="180"/>
              <w:jc w:val="left"/>
            </w:pPr>
            <w:r>
              <w:rPr>
                <w:rFonts w:ascii="Times New Roman"/>
                <w:szCs w:val="21"/>
              </w:rPr>
              <w:t>岩性复杂，构造破碎较强烈，弱风化带</w:t>
            </w:r>
          </w:p>
        </w:tc>
        <w:tc>
          <w:tcPr>
            <w:tcW w:w="3118" w:type="dxa"/>
            <w:shd w:val="clear" w:color="auto" w:fill="auto"/>
            <w:vAlign w:val="center"/>
          </w:tcPr>
          <w:p w14:paraId="7DC70E23">
            <w:pPr>
              <w:pStyle w:val="180"/>
              <w:jc w:val="left"/>
            </w:pPr>
            <w:r>
              <w:rPr>
                <w:rFonts w:ascii="Times New Roman"/>
                <w:szCs w:val="21"/>
              </w:rPr>
              <w:t>延续差的结构面，密度大，相互交切</w:t>
            </w:r>
          </w:p>
        </w:tc>
        <w:tc>
          <w:tcPr>
            <w:tcW w:w="1973" w:type="dxa"/>
            <w:shd w:val="clear" w:color="auto" w:fill="auto"/>
            <w:vAlign w:val="center"/>
          </w:tcPr>
          <w:p w14:paraId="58764076">
            <w:pPr>
              <w:pStyle w:val="180"/>
              <w:jc w:val="left"/>
            </w:pPr>
            <w:r>
              <w:rPr>
                <w:rFonts w:ascii="Times New Roman"/>
                <w:szCs w:val="21"/>
              </w:rPr>
              <w:t>碎屑和大小不等的岩块，形状多种，不规则</w:t>
            </w:r>
          </w:p>
        </w:tc>
      </w:tr>
      <w:tr w14:paraId="0AE10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14:paraId="00B28BFB">
            <w:pPr>
              <w:pStyle w:val="180"/>
            </w:pPr>
            <w:r>
              <w:rPr>
                <w:rFonts w:ascii="Times New Roman"/>
                <w:szCs w:val="21"/>
              </w:rPr>
              <w:t>散体结构</w:t>
            </w:r>
          </w:p>
        </w:tc>
        <w:tc>
          <w:tcPr>
            <w:tcW w:w="1134" w:type="dxa"/>
            <w:shd w:val="clear" w:color="auto" w:fill="auto"/>
            <w:vAlign w:val="center"/>
          </w:tcPr>
          <w:p w14:paraId="5CB0C89D">
            <w:pPr>
              <w:pStyle w:val="180"/>
            </w:pPr>
            <w:r>
              <w:rPr>
                <w:rFonts w:ascii="Times New Roman"/>
                <w:szCs w:val="21"/>
              </w:rPr>
              <w:t>构造破碎带，全风化带</w:t>
            </w:r>
          </w:p>
        </w:tc>
        <w:tc>
          <w:tcPr>
            <w:tcW w:w="2268" w:type="dxa"/>
            <w:shd w:val="clear" w:color="auto" w:fill="auto"/>
            <w:vAlign w:val="center"/>
          </w:tcPr>
          <w:p w14:paraId="050D243A">
            <w:pPr>
              <w:pStyle w:val="180"/>
              <w:jc w:val="left"/>
            </w:pPr>
            <w:r>
              <w:rPr>
                <w:rFonts w:ascii="Times New Roman"/>
                <w:szCs w:val="21"/>
              </w:rPr>
              <w:t>裂隙和节理很发达，无规则</w:t>
            </w:r>
          </w:p>
        </w:tc>
        <w:tc>
          <w:tcPr>
            <w:tcW w:w="3118" w:type="dxa"/>
            <w:shd w:val="clear" w:color="auto" w:fill="auto"/>
            <w:vAlign w:val="center"/>
          </w:tcPr>
          <w:p w14:paraId="6433874E">
            <w:pPr>
              <w:pStyle w:val="180"/>
              <w:jc w:val="left"/>
            </w:pPr>
            <w:r>
              <w:rPr>
                <w:rFonts w:ascii="Times New Roman"/>
                <w:szCs w:val="21"/>
              </w:rPr>
              <w:t>岩屑、碎片、碎块、岩粉</w:t>
            </w:r>
          </w:p>
        </w:tc>
        <w:tc>
          <w:tcPr>
            <w:tcW w:w="1973" w:type="dxa"/>
            <w:shd w:val="clear" w:color="auto" w:fill="auto"/>
            <w:vAlign w:val="center"/>
          </w:tcPr>
          <w:p w14:paraId="27DAAB0E">
            <w:pPr>
              <w:pStyle w:val="180"/>
              <w:jc w:val="left"/>
            </w:pPr>
            <w:r>
              <w:rPr>
                <w:rFonts w:ascii="Times New Roman"/>
                <w:szCs w:val="21"/>
              </w:rPr>
              <w:t>散体结构</w:t>
            </w:r>
          </w:p>
        </w:tc>
      </w:tr>
    </w:tbl>
    <w:p w14:paraId="71FF2706">
      <w:pPr>
        <w:pStyle w:val="58"/>
        <w:ind w:firstLine="420"/>
      </w:pPr>
    </w:p>
    <w:p w14:paraId="0DF3CEF2">
      <w:pPr>
        <w:pStyle w:val="58"/>
        <w:ind w:firstLine="420"/>
      </w:pPr>
    </w:p>
    <w:p w14:paraId="45D4506B">
      <w:pPr>
        <w:pStyle w:val="58"/>
        <w:ind w:firstLine="420"/>
      </w:pPr>
    </w:p>
    <w:p w14:paraId="193B3C5A">
      <w:pPr>
        <w:pStyle w:val="58"/>
        <w:ind w:firstLine="420"/>
      </w:pPr>
    </w:p>
    <w:p w14:paraId="5A92AB9A">
      <w:pPr>
        <w:pStyle w:val="58"/>
        <w:ind w:firstLine="420"/>
      </w:pPr>
    </w:p>
    <w:p w14:paraId="3A0AD700">
      <w:pPr>
        <w:pStyle w:val="58"/>
        <w:ind w:firstLine="420"/>
        <w:sectPr>
          <w:pgSz w:w="11906" w:h="16838"/>
          <w:pgMar w:top="1928" w:right="1134" w:bottom="1134" w:left="1134" w:header="1418" w:footer="1134" w:gutter="284"/>
          <w:cols w:space="425" w:num="1"/>
          <w:formProt w:val="0"/>
          <w:docGrid w:type="lines" w:linePitch="312" w:charSpace="0"/>
        </w:sectPr>
      </w:pPr>
    </w:p>
    <w:p w14:paraId="59F81E17">
      <w:pPr>
        <w:pStyle w:val="200"/>
        <w:rPr>
          <w:vanish w:val="0"/>
        </w:rPr>
      </w:pPr>
    </w:p>
    <w:p w14:paraId="2E2606FA">
      <w:pPr>
        <w:pStyle w:val="201"/>
        <w:rPr>
          <w:vanish w:val="0"/>
        </w:rPr>
      </w:pPr>
    </w:p>
    <w:p w14:paraId="5DB594EF">
      <w:pPr>
        <w:pStyle w:val="78"/>
        <w:spacing w:after="156"/>
      </w:pPr>
      <w:r>
        <w:br w:type="textWrapping"/>
      </w:r>
      <w:bookmarkStart w:id="314" w:name="_Toc176194169"/>
      <w:bookmarkStart w:id="315" w:name="_Toc178172373"/>
      <w:r>
        <w:rPr>
          <w:rFonts w:hint="eastAsia"/>
        </w:rPr>
        <w:t>（资料性）</w:t>
      </w:r>
      <w:r>
        <w:br w:type="textWrapping"/>
      </w:r>
      <w:r>
        <w:rPr>
          <w:rFonts w:hint="eastAsia"/>
        </w:rPr>
        <w:t>工程地质岩组及岩石风化程度划分</w:t>
      </w:r>
      <w:bookmarkEnd w:id="314"/>
      <w:bookmarkEnd w:id="315"/>
    </w:p>
    <w:p w14:paraId="5CA5842D">
      <w:pPr>
        <w:pStyle w:val="79"/>
        <w:spacing w:before="156" w:after="156"/>
      </w:pPr>
      <w:r>
        <w:rPr>
          <w:rFonts w:hint="eastAsia"/>
        </w:rPr>
        <w:t>工程地质岩组划分表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983"/>
        <w:gridCol w:w="1417"/>
        <w:gridCol w:w="5670"/>
        <w:gridCol w:w="1264"/>
      </w:tblGrid>
      <w:tr w14:paraId="4AC3C2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400" w:type="dxa"/>
            <w:gridSpan w:val="2"/>
            <w:tcBorders>
              <w:top w:val="single" w:color="auto" w:sz="8" w:space="0"/>
              <w:bottom w:val="single" w:color="auto" w:sz="8" w:space="0"/>
            </w:tcBorders>
            <w:shd w:val="clear" w:color="auto" w:fill="auto"/>
          </w:tcPr>
          <w:p w14:paraId="542EA020">
            <w:pPr>
              <w:pStyle w:val="180"/>
            </w:pPr>
            <w:r>
              <w:rPr>
                <w:rFonts w:hint="eastAsia"/>
              </w:rPr>
              <w:t>岩土体类型及代号</w:t>
            </w:r>
          </w:p>
        </w:tc>
        <w:tc>
          <w:tcPr>
            <w:tcW w:w="5670" w:type="dxa"/>
            <w:tcBorders>
              <w:top w:val="single" w:color="auto" w:sz="8" w:space="0"/>
              <w:bottom w:val="single" w:color="auto" w:sz="8" w:space="0"/>
            </w:tcBorders>
            <w:shd w:val="clear" w:color="auto" w:fill="auto"/>
          </w:tcPr>
          <w:p w14:paraId="1BC1C3E5">
            <w:pPr>
              <w:pStyle w:val="180"/>
            </w:pPr>
            <w:r>
              <w:rPr>
                <w:rFonts w:hint="eastAsia"/>
              </w:rPr>
              <w:t>岩性组名称</w:t>
            </w:r>
          </w:p>
        </w:tc>
        <w:tc>
          <w:tcPr>
            <w:tcW w:w="1264" w:type="dxa"/>
            <w:tcBorders>
              <w:top w:val="single" w:color="auto" w:sz="8" w:space="0"/>
              <w:bottom w:val="single" w:color="auto" w:sz="8" w:space="0"/>
            </w:tcBorders>
            <w:shd w:val="clear" w:color="auto" w:fill="auto"/>
          </w:tcPr>
          <w:p w14:paraId="7384DA9E">
            <w:pPr>
              <w:pStyle w:val="180"/>
            </w:pPr>
            <w:r>
              <w:rPr>
                <w:rFonts w:hint="eastAsia"/>
              </w:rPr>
              <w:t>代号</w:t>
            </w:r>
          </w:p>
        </w:tc>
      </w:tr>
      <w:tr w14:paraId="244F3D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restart"/>
            <w:tcBorders>
              <w:top w:val="single" w:color="auto" w:sz="8" w:space="0"/>
            </w:tcBorders>
            <w:shd w:val="clear" w:color="auto" w:fill="auto"/>
            <w:vAlign w:val="center"/>
          </w:tcPr>
          <w:p w14:paraId="530D7AAA">
            <w:pPr>
              <w:pStyle w:val="180"/>
            </w:pPr>
            <w:r>
              <w:rPr>
                <w:rFonts w:hint="eastAsia"/>
              </w:rPr>
              <w:t>侵入岩（Q）</w:t>
            </w:r>
          </w:p>
        </w:tc>
        <w:tc>
          <w:tcPr>
            <w:tcW w:w="5670" w:type="dxa"/>
            <w:tcBorders>
              <w:top w:val="single" w:color="auto" w:sz="8" w:space="0"/>
            </w:tcBorders>
            <w:shd w:val="clear" w:color="auto" w:fill="auto"/>
          </w:tcPr>
          <w:p w14:paraId="4727BB1A">
            <w:pPr>
              <w:pStyle w:val="180"/>
            </w:pPr>
            <w:r>
              <w:rPr>
                <w:rFonts w:hint="eastAsia"/>
              </w:rPr>
              <w:t>以坚硬块状以花岗岩为主的酸性岩岩组</w:t>
            </w:r>
          </w:p>
        </w:tc>
        <w:tc>
          <w:tcPr>
            <w:tcW w:w="1264" w:type="dxa"/>
            <w:tcBorders>
              <w:top w:val="single" w:color="auto" w:sz="8" w:space="0"/>
            </w:tcBorders>
            <w:shd w:val="clear" w:color="auto" w:fill="auto"/>
          </w:tcPr>
          <w:p w14:paraId="5A41AB23">
            <w:pPr>
              <w:pStyle w:val="180"/>
            </w:pPr>
            <w:r>
              <w:t>Qg</w:t>
            </w:r>
          </w:p>
        </w:tc>
      </w:tr>
      <w:tr w14:paraId="45FEF0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0EFBE9C9">
            <w:pPr>
              <w:pStyle w:val="180"/>
            </w:pPr>
          </w:p>
        </w:tc>
        <w:tc>
          <w:tcPr>
            <w:tcW w:w="5670" w:type="dxa"/>
            <w:shd w:val="clear" w:color="auto" w:fill="auto"/>
          </w:tcPr>
          <w:p w14:paraId="71448282">
            <w:pPr>
              <w:pStyle w:val="180"/>
            </w:pPr>
            <w:r>
              <w:rPr>
                <w:rFonts w:hint="eastAsia"/>
              </w:rPr>
              <w:t>以较坚硬-坚硬块状以闪长岩为主的中性岩岩组</w:t>
            </w:r>
          </w:p>
        </w:tc>
        <w:tc>
          <w:tcPr>
            <w:tcW w:w="1264" w:type="dxa"/>
            <w:shd w:val="clear" w:color="auto" w:fill="auto"/>
          </w:tcPr>
          <w:p w14:paraId="6C4FA1CC">
            <w:pPr>
              <w:pStyle w:val="180"/>
            </w:pPr>
            <w:r>
              <w:t>Qd</w:t>
            </w:r>
          </w:p>
        </w:tc>
      </w:tr>
      <w:tr w14:paraId="5C6C62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6060B6D5">
            <w:pPr>
              <w:pStyle w:val="180"/>
            </w:pPr>
          </w:p>
        </w:tc>
        <w:tc>
          <w:tcPr>
            <w:tcW w:w="5670" w:type="dxa"/>
            <w:shd w:val="clear" w:color="auto" w:fill="auto"/>
          </w:tcPr>
          <w:p w14:paraId="7952EB62">
            <w:pPr>
              <w:pStyle w:val="180"/>
            </w:pPr>
            <w:r>
              <w:rPr>
                <w:rFonts w:hint="eastAsia"/>
              </w:rPr>
              <w:t>以较坚硬辉绿岩等为主的基性岩岩组</w:t>
            </w:r>
          </w:p>
        </w:tc>
        <w:tc>
          <w:tcPr>
            <w:tcW w:w="1264" w:type="dxa"/>
            <w:shd w:val="clear" w:color="auto" w:fill="auto"/>
          </w:tcPr>
          <w:p w14:paraId="7D1CFEEA">
            <w:pPr>
              <w:pStyle w:val="180"/>
            </w:pPr>
            <w:r>
              <w:t>Qj</w:t>
            </w:r>
          </w:p>
        </w:tc>
      </w:tr>
      <w:tr w14:paraId="3A8ED3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restart"/>
            <w:shd w:val="clear" w:color="auto" w:fill="auto"/>
            <w:vAlign w:val="center"/>
          </w:tcPr>
          <w:p w14:paraId="44F871BE">
            <w:pPr>
              <w:pStyle w:val="180"/>
            </w:pPr>
            <w:r>
              <w:rPr>
                <w:rFonts w:ascii="Times New Roman"/>
                <w:szCs w:val="18"/>
              </w:rPr>
              <w:t>喷出岩</w:t>
            </w:r>
          </w:p>
        </w:tc>
        <w:tc>
          <w:tcPr>
            <w:tcW w:w="1417" w:type="dxa"/>
            <w:vMerge w:val="restart"/>
            <w:shd w:val="clear" w:color="auto" w:fill="auto"/>
            <w:vAlign w:val="center"/>
          </w:tcPr>
          <w:p w14:paraId="0A305467">
            <w:pPr>
              <w:pStyle w:val="180"/>
            </w:pPr>
            <w:r>
              <w:rPr>
                <w:rFonts w:hint="eastAsia"/>
              </w:rPr>
              <w:t>熔岩（R）</w:t>
            </w:r>
          </w:p>
        </w:tc>
        <w:tc>
          <w:tcPr>
            <w:tcW w:w="5670" w:type="dxa"/>
            <w:shd w:val="clear" w:color="auto" w:fill="auto"/>
          </w:tcPr>
          <w:p w14:paraId="7B22A6BE">
            <w:pPr>
              <w:pStyle w:val="180"/>
            </w:pPr>
            <w:r>
              <w:rPr>
                <w:rFonts w:hint="eastAsia"/>
              </w:rPr>
              <w:t>以坚硬块状流纹岩为主的酸性岩岩组</w:t>
            </w:r>
          </w:p>
        </w:tc>
        <w:tc>
          <w:tcPr>
            <w:tcW w:w="1264" w:type="dxa"/>
            <w:shd w:val="clear" w:color="auto" w:fill="auto"/>
          </w:tcPr>
          <w:p w14:paraId="7B63B11E">
            <w:pPr>
              <w:pStyle w:val="180"/>
            </w:pPr>
            <w:r>
              <w:t>Rr</w:t>
            </w:r>
          </w:p>
        </w:tc>
      </w:tr>
      <w:tr w14:paraId="354A06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continue"/>
            <w:shd w:val="clear" w:color="auto" w:fill="auto"/>
            <w:vAlign w:val="center"/>
          </w:tcPr>
          <w:p w14:paraId="1463C5BF">
            <w:pPr>
              <w:pStyle w:val="180"/>
            </w:pPr>
          </w:p>
        </w:tc>
        <w:tc>
          <w:tcPr>
            <w:tcW w:w="1417" w:type="dxa"/>
            <w:vMerge w:val="continue"/>
            <w:shd w:val="clear" w:color="auto" w:fill="auto"/>
            <w:vAlign w:val="center"/>
          </w:tcPr>
          <w:p w14:paraId="52A5E3C9">
            <w:pPr>
              <w:pStyle w:val="180"/>
            </w:pPr>
          </w:p>
        </w:tc>
        <w:tc>
          <w:tcPr>
            <w:tcW w:w="5670" w:type="dxa"/>
            <w:shd w:val="clear" w:color="auto" w:fill="auto"/>
          </w:tcPr>
          <w:p w14:paraId="41208716">
            <w:pPr>
              <w:pStyle w:val="180"/>
            </w:pPr>
            <w:r>
              <w:rPr>
                <w:rFonts w:hint="eastAsia"/>
              </w:rPr>
              <w:t>以较坚硬-坚硬安山岩为主的中性岩岩组</w:t>
            </w:r>
          </w:p>
        </w:tc>
        <w:tc>
          <w:tcPr>
            <w:tcW w:w="1264" w:type="dxa"/>
            <w:shd w:val="clear" w:color="auto" w:fill="auto"/>
          </w:tcPr>
          <w:p w14:paraId="17EB3481">
            <w:pPr>
              <w:pStyle w:val="180"/>
            </w:pPr>
            <w:r>
              <w:t>Rd</w:t>
            </w:r>
          </w:p>
        </w:tc>
      </w:tr>
      <w:tr w14:paraId="31600E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continue"/>
            <w:shd w:val="clear" w:color="auto" w:fill="auto"/>
            <w:vAlign w:val="center"/>
          </w:tcPr>
          <w:p w14:paraId="73F069C0">
            <w:pPr>
              <w:pStyle w:val="180"/>
            </w:pPr>
          </w:p>
        </w:tc>
        <w:tc>
          <w:tcPr>
            <w:tcW w:w="1417" w:type="dxa"/>
            <w:vMerge w:val="continue"/>
            <w:shd w:val="clear" w:color="auto" w:fill="auto"/>
            <w:vAlign w:val="center"/>
          </w:tcPr>
          <w:p w14:paraId="6915F1B2">
            <w:pPr>
              <w:pStyle w:val="180"/>
            </w:pPr>
          </w:p>
        </w:tc>
        <w:tc>
          <w:tcPr>
            <w:tcW w:w="5670" w:type="dxa"/>
            <w:shd w:val="clear" w:color="auto" w:fill="auto"/>
          </w:tcPr>
          <w:p w14:paraId="09E618C0">
            <w:pPr>
              <w:pStyle w:val="180"/>
            </w:pPr>
            <w:r>
              <w:rPr>
                <w:rFonts w:hint="eastAsia"/>
              </w:rPr>
              <w:t>以坚硬块状玄武岩为主的基性岩岩组</w:t>
            </w:r>
          </w:p>
        </w:tc>
        <w:tc>
          <w:tcPr>
            <w:tcW w:w="1264" w:type="dxa"/>
            <w:shd w:val="clear" w:color="auto" w:fill="auto"/>
          </w:tcPr>
          <w:p w14:paraId="5B50447B">
            <w:pPr>
              <w:pStyle w:val="180"/>
            </w:pPr>
            <w:r>
              <w:t>Rb</w:t>
            </w:r>
          </w:p>
        </w:tc>
      </w:tr>
      <w:tr w14:paraId="199DDE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continue"/>
            <w:shd w:val="clear" w:color="auto" w:fill="auto"/>
            <w:vAlign w:val="center"/>
          </w:tcPr>
          <w:p w14:paraId="4D195350">
            <w:pPr>
              <w:pStyle w:val="180"/>
            </w:pPr>
          </w:p>
        </w:tc>
        <w:tc>
          <w:tcPr>
            <w:tcW w:w="1417" w:type="dxa"/>
            <w:vMerge w:val="restart"/>
            <w:shd w:val="clear" w:color="auto" w:fill="auto"/>
            <w:vAlign w:val="center"/>
          </w:tcPr>
          <w:p w14:paraId="5F9E05D8">
            <w:pPr>
              <w:pStyle w:val="180"/>
            </w:pPr>
            <w:r>
              <w:rPr>
                <w:rFonts w:hint="eastAsia"/>
              </w:rPr>
              <w:t>火山碎屑岩（H）</w:t>
            </w:r>
          </w:p>
        </w:tc>
        <w:tc>
          <w:tcPr>
            <w:tcW w:w="5670" w:type="dxa"/>
            <w:shd w:val="clear" w:color="auto" w:fill="auto"/>
          </w:tcPr>
          <w:p w14:paraId="4C530AE1">
            <w:pPr>
              <w:pStyle w:val="180"/>
            </w:pPr>
            <w:r>
              <w:rPr>
                <w:rFonts w:hint="eastAsia"/>
              </w:rPr>
              <w:t>以坚硬块状熔结凝灰岩为主的岩组</w:t>
            </w:r>
          </w:p>
        </w:tc>
        <w:tc>
          <w:tcPr>
            <w:tcW w:w="1264" w:type="dxa"/>
            <w:shd w:val="clear" w:color="auto" w:fill="auto"/>
          </w:tcPr>
          <w:p w14:paraId="28D54AA8">
            <w:pPr>
              <w:pStyle w:val="180"/>
            </w:pPr>
            <w:r>
              <w:t>Hi</w:t>
            </w:r>
          </w:p>
        </w:tc>
      </w:tr>
      <w:tr w14:paraId="336881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continue"/>
            <w:shd w:val="clear" w:color="auto" w:fill="auto"/>
            <w:vAlign w:val="center"/>
          </w:tcPr>
          <w:p w14:paraId="5871B666">
            <w:pPr>
              <w:pStyle w:val="180"/>
            </w:pPr>
          </w:p>
        </w:tc>
        <w:tc>
          <w:tcPr>
            <w:tcW w:w="1417" w:type="dxa"/>
            <w:vMerge w:val="continue"/>
            <w:shd w:val="clear" w:color="auto" w:fill="auto"/>
            <w:vAlign w:val="center"/>
          </w:tcPr>
          <w:p w14:paraId="1D6F5BF2">
            <w:pPr>
              <w:pStyle w:val="180"/>
            </w:pPr>
          </w:p>
        </w:tc>
        <w:tc>
          <w:tcPr>
            <w:tcW w:w="5670" w:type="dxa"/>
            <w:shd w:val="clear" w:color="auto" w:fill="auto"/>
          </w:tcPr>
          <w:p w14:paraId="5427142D">
            <w:pPr>
              <w:pStyle w:val="180"/>
            </w:pPr>
            <w:r>
              <w:rPr>
                <w:rFonts w:hint="eastAsia"/>
              </w:rPr>
              <w:t>以坚硬块状晶屑、玻屑凝灰熔岩为主的岩组</w:t>
            </w:r>
          </w:p>
        </w:tc>
        <w:tc>
          <w:tcPr>
            <w:tcW w:w="1264" w:type="dxa"/>
            <w:shd w:val="clear" w:color="auto" w:fill="auto"/>
          </w:tcPr>
          <w:p w14:paraId="7A3DE433">
            <w:pPr>
              <w:pStyle w:val="180"/>
            </w:pPr>
            <w:r>
              <w:t>Ht</w:t>
            </w:r>
          </w:p>
        </w:tc>
      </w:tr>
      <w:tr w14:paraId="7C01B0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vMerge w:val="continue"/>
            <w:shd w:val="clear" w:color="auto" w:fill="auto"/>
            <w:vAlign w:val="center"/>
          </w:tcPr>
          <w:p w14:paraId="4B3420F0">
            <w:pPr>
              <w:pStyle w:val="180"/>
            </w:pPr>
          </w:p>
        </w:tc>
        <w:tc>
          <w:tcPr>
            <w:tcW w:w="1417" w:type="dxa"/>
            <w:vMerge w:val="continue"/>
            <w:shd w:val="clear" w:color="auto" w:fill="auto"/>
            <w:vAlign w:val="center"/>
          </w:tcPr>
          <w:p w14:paraId="29E06E1B">
            <w:pPr>
              <w:pStyle w:val="180"/>
            </w:pPr>
          </w:p>
        </w:tc>
        <w:tc>
          <w:tcPr>
            <w:tcW w:w="5670" w:type="dxa"/>
            <w:shd w:val="clear" w:color="auto" w:fill="auto"/>
          </w:tcPr>
          <w:p w14:paraId="21ECD043">
            <w:pPr>
              <w:pStyle w:val="180"/>
            </w:pPr>
            <w:r>
              <w:rPr>
                <w:rFonts w:hint="eastAsia"/>
              </w:rPr>
              <w:t>以较坚硬块状-层状以凝灰质沉积碎屑岩为主的岩组</w:t>
            </w:r>
          </w:p>
        </w:tc>
        <w:tc>
          <w:tcPr>
            <w:tcW w:w="1264" w:type="dxa"/>
            <w:shd w:val="clear" w:color="auto" w:fill="auto"/>
          </w:tcPr>
          <w:p w14:paraId="14FE54A3">
            <w:pPr>
              <w:pStyle w:val="180"/>
            </w:pPr>
            <w:r>
              <w:t>Hs</w:t>
            </w:r>
          </w:p>
        </w:tc>
      </w:tr>
      <w:tr w14:paraId="3F5743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restart"/>
            <w:shd w:val="clear" w:color="auto" w:fill="auto"/>
            <w:vAlign w:val="center"/>
          </w:tcPr>
          <w:p w14:paraId="67E99705">
            <w:pPr>
              <w:pStyle w:val="180"/>
            </w:pPr>
            <w:r>
              <w:rPr>
                <w:rFonts w:hint="eastAsia"/>
              </w:rPr>
              <w:t>变质岩（B）</w:t>
            </w:r>
          </w:p>
        </w:tc>
        <w:tc>
          <w:tcPr>
            <w:tcW w:w="5670" w:type="dxa"/>
            <w:shd w:val="clear" w:color="auto" w:fill="auto"/>
          </w:tcPr>
          <w:p w14:paraId="07538B23">
            <w:pPr>
              <w:pStyle w:val="180"/>
            </w:pPr>
            <w:r>
              <w:rPr>
                <w:rFonts w:hint="eastAsia"/>
              </w:rPr>
              <w:t>以坚硬-较坚硬块状片麻岩、变粒岩为主的岩组</w:t>
            </w:r>
          </w:p>
        </w:tc>
        <w:tc>
          <w:tcPr>
            <w:tcW w:w="1264" w:type="dxa"/>
            <w:shd w:val="clear" w:color="auto" w:fill="auto"/>
          </w:tcPr>
          <w:p w14:paraId="2B0D7BE8">
            <w:pPr>
              <w:pStyle w:val="180"/>
            </w:pPr>
            <w:r>
              <w:t>Bg</w:t>
            </w:r>
          </w:p>
        </w:tc>
      </w:tr>
      <w:tr w14:paraId="695B1A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11D7BFB7">
            <w:pPr>
              <w:pStyle w:val="180"/>
            </w:pPr>
          </w:p>
        </w:tc>
        <w:tc>
          <w:tcPr>
            <w:tcW w:w="5670" w:type="dxa"/>
            <w:shd w:val="clear" w:color="auto" w:fill="auto"/>
          </w:tcPr>
          <w:p w14:paraId="1CE2868E">
            <w:pPr>
              <w:pStyle w:val="180"/>
            </w:pPr>
            <w:r>
              <w:rPr>
                <w:rFonts w:hint="eastAsia"/>
              </w:rPr>
              <w:t>以较坚硬以片岩、千枚岩为主的岩组</w:t>
            </w:r>
          </w:p>
        </w:tc>
        <w:tc>
          <w:tcPr>
            <w:tcW w:w="1264" w:type="dxa"/>
            <w:shd w:val="clear" w:color="auto" w:fill="auto"/>
          </w:tcPr>
          <w:p w14:paraId="3950BC78">
            <w:pPr>
              <w:pStyle w:val="180"/>
            </w:pPr>
            <w:r>
              <w:t>Bs</w:t>
            </w:r>
          </w:p>
        </w:tc>
      </w:tr>
      <w:tr w14:paraId="6185E9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restart"/>
            <w:shd w:val="clear" w:color="auto" w:fill="auto"/>
            <w:vAlign w:val="center"/>
          </w:tcPr>
          <w:p w14:paraId="67273C1E">
            <w:pPr>
              <w:pStyle w:val="180"/>
            </w:pPr>
            <w:r>
              <w:rPr>
                <w:rFonts w:hint="eastAsia"/>
              </w:rPr>
              <w:t>碎屑岩（S）</w:t>
            </w:r>
          </w:p>
        </w:tc>
        <w:tc>
          <w:tcPr>
            <w:tcW w:w="5670" w:type="dxa"/>
            <w:shd w:val="clear" w:color="auto" w:fill="auto"/>
          </w:tcPr>
          <w:p w14:paraId="673A2D6D">
            <w:pPr>
              <w:pStyle w:val="180"/>
            </w:pPr>
            <w:r>
              <w:rPr>
                <w:rFonts w:hint="eastAsia"/>
              </w:rPr>
              <w:t>以坚硬层状砂岩、砂砾岩为主的粗碎屑岩岩组</w:t>
            </w:r>
          </w:p>
        </w:tc>
        <w:tc>
          <w:tcPr>
            <w:tcW w:w="1264" w:type="dxa"/>
            <w:shd w:val="clear" w:color="auto" w:fill="auto"/>
          </w:tcPr>
          <w:p w14:paraId="3DEDA955">
            <w:pPr>
              <w:pStyle w:val="180"/>
            </w:pPr>
            <w:r>
              <w:t>Sc</w:t>
            </w:r>
          </w:p>
        </w:tc>
      </w:tr>
      <w:tr w14:paraId="75F240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695EF2CF">
            <w:pPr>
              <w:pStyle w:val="180"/>
            </w:pPr>
          </w:p>
        </w:tc>
        <w:tc>
          <w:tcPr>
            <w:tcW w:w="5670" w:type="dxa"/>
            <w:shd w:val="clear" w:color="auto" w:fill="auto"/>
          </w:tcPr>
          <w:p w14:paraId="7A95EECD">
            <w:pPr>
              <w:pStyle w:val="180"/>
            </w:pPr>
            <w:r>
              <w:rPr>
                <w:rFonts w:hint="eastAsia"/>
              </w:rPr>
              <w:t>以较坚硬-较软弱层状粉砂岩、泥岩为主的细碎屑岩岩组</w:t>
            </w:r>
          </w:p>
        </w:tc>
        <w:tc>
          <w:tcPr>
            <w:tcW w:w="1264" w:type="dxa"/>
            <w:shd w:val="clear" w:color="auto" w:fill="auto"/>
          </w:tcPr>
          <w:p w14:paraId="64F7151F">
            <w:pPr>
              <w:pStyle w:val="180"/>
            </w:pPr>
            <w:r>
              <w:t>Sf</w:t>
            </w:r>
          </w:p>
        </w:tc>
      </w:tr>
      <w:tr w14:paraId="7CA69A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69AB9EBB">
            <w:pPr>
              <w:pStyle w:val="180"/>
            </w:pPr>
          </w:p>
        </w:tc>
        <w:tc>
          <w:tcPr>
            <w:tcW w:w="5670" w:type="dxa"/>
            <w:shd w:val="clear" w:color="auto" w:fill="auto"/>
          </w:tcPr>
          <w:p w14:paraId="77F54BC4">
            <w:pPr>
              <w:pStyle w:val="180"/>
            </w:pPr>
            <w:r>
              <w:rPr>
                <w:rFonts w:hint="eastAsia"/>
              </w:rPr>
              <w:t>以较坚硬中-厚层状以红色砂岩、砂砾岩为主的粗碎屑岩岩组</w:t>
            </w:r>
          </w:p>
        </w:tc>
        <w:tc>
          <w:tcPr>
            <w:tcW w:w="1264" w:type="dxa"/>
            <w:shd w:val="clear" w:color="auto" w:fill="auto"/>
          </w:tcPr>
          <w:p w14:paraId="18688442">
            <w:pPr>
              <w:pStyle w:val="180"/>
            </w:pPr>
            <w:r>
              <w:t>SRc</w:t>
            </w:r>
          </w:p>
        </w:tc>
      </w:tr>
      <w:tr w14:paraId="13A047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0" w:hRule="atLeast"/>
          <w:jc w:val="center"/>
        </w:trPr>
        <w:tc>
          <w:tcPr>
            <w:tcW w:w="2400" w:type="dxa"/>
            <w:gridSpan w:val="2"/>
            <w:vMerge w:val="continue"/>
            <w:shd w:val="clear" w:color="auto" w:fill="auto"/>
            <w:vAlign w:val="center"/>
          </w:tcPr>
          <w:p w14:paraId="1E8B186F">
            <w:pPr>
              <w:pStyle w:val="180"/>
            </w:pPr>
          </w:p>
        </w:tc>
        <w:tc>
          <w:tcPr>
            <w:tcW w:w="5670" w:type="dxa"/>
            <w:shd w:val="clear" w:color="auto" w:fill="auto"/>
          </w:tcPr>
          <w:p w14:paraId="593510CC">
            <w:pPr>
              <w:pStyle w:val="180"/>
            </w:pPr>
            <w:r>
              <w:rPr>
                <w:rFonts w:hint="eastAsia"/>
              </w:rPr>
              <w:t>以较坚硬中层状以红色粉砂岩、泥岩为主的细碎屑岩岩组</w:t>
            </w:r>
          </w:p>
        </w:tc>
        <w:tc>
          <w:tcPr>
            <w:tcW w:w="1264" w:type="dxa"/>
            <w:shd w:val="clear" w:color="auto" w:fill="auto"/>
          </w:tcPr>
          <w:p w14:paraId="63D23DF8">
            <w:pPr>
              <w:pStyle w:val="180"/>
            </w:pPr>
            <w:r>
              <w:t>SRf</w:t>
            </w:r>
          </w:p>
        </w:tc>
      </w:tr>
      <w:tr w14:paraId="3FF6F7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restart"/>
            <w:shd w:val="clear" w:color="auto" w:fill="auto"/>
            <w:vAlign w:val="center"/>
          </w:tcPr>
          <w:p w14:paraId="06E230B8">
            <w:pPr>
              <w:pStyle w:val="180"/>
            </w:pPr>
            <w:r>
              <w:rPr>
                <w:rFonts w:hint="eastAsia"/>
              </w:rPr>
              <w:t>碳酸盐岩（T）</w:t>
            </w:r>
          </w:p>
        </w:tc>
        <w:tc>
          <w:tcPr>
            <w:tcW w:w="5670" w:type="dxa"/>
            <w:shd w:val="clear" w:color="auto" w:fill="auto"/>
          </w:tcPr>
          <w:p w14:paraId="2E73B4D3">
            <w:pPr>
              <w:pStyle w:val="180"/>
            </w:pPr>
            <w:r>
              <w:rPr>
                <w:rFonts w:hint="eastAsia"/>
              </w:rPr>
              <w:t>以坚硬-较坚硬碳酸盐岩为主的岩组</w:t>
            </w:r>
          </w:p>
        </w:tc>
        <w:tc>
          <w:tcPr>
            <w:tcW w:w="1264" w:type="dxa"/>
            <w:shd w:val="clear" w:color="auto" w:fill="auto"/>
          </w:tcPr>
          <w:p w14:paraId="27ECBC0D">
            <w:pPr>
              <w:pStyle w:val="180"/>
            </w:pPr>
            <w:r>
              <w:t>Tc</w:t>
            </w:r>
          </w:p>
        </w:tc>
      </w:tr>
      <w:tr w14:paraId="2C3D7E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007F9727">
            <w:pPr>
              <w:pStyle w:val="180"/>
            </w:pPr>
          </w:p>
        </w:tc>
        <w:tc>
          <w:tcPr>
            <w:tcW w:w="5670" w:type="dxa"/>
            <w:shd w:val="clear" w:color="auto" w:fill="auto"/>
          </w:tcPr>
          <w:p w14:paraId="39D65244">
            <w:pPr>
              <w:pStyle w:val="180"/>
            </w:pPr>
            <w:r>
              <w:rPr>
                <w:rFonts w:hint="eastAsia"/>
              </w:rPr>
              <w:t>以坚硬-较坚硬碳酸盐岩、碎屑岩为主的岩组</w:t>
            </w:r>
          </w:p>
        </w:tc>
        <w:tc>
          <w:tcPr>
            <w:tcW w:w="1264" w:type="dxa"/>
            <w:shd w:val="clear" w:color="auto" w:fill="auto"/>
          </w:tcPr>
          <w:p w14:paraId="6E1EBCCA">
            <w:pPr>
              <w:pStyle w:val="180"/>
            </w:pPr>
            <w:r>
              <w:t>Tcc</w:t>
            </w:r>
          </w:p>
        </w:tc>
      </w:tr>
      <w:tr w14:paraId="0B8F4C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restart"/>
            <w:shd w:val="clear" w:color="auto" w:fill="auto"/>
            <w:vAlign w:val="center"/>
          </w:tcPr>
          <w:p w14:paraId="4E2FBA08">
            <w:pPr>
              <w:pStyle w:val="180"/>
            </w:pPr>
            <w:r>
              <w:rPr>
                <w:rFonts w:hint="eastAsia"/>
              </w:rPr>
              <w:t>松散岩类</w:t>
            </w:r>
          </w:p>
        </w:tc>
        <w:tc>
          <w:tcPr>
            <w:tcW w:w="5670" w:type="dxa"/>
            <w:shd w:val="clear" w:color="auto" w:fill="auto"/>
          </w:tcPr>
          <w:p w14:paraId="1800B30E">
            <w:pPr>
              <w:pStyle w:val="180"/>
            </w:pPr>
            <w:r>
              <w:rPr>
                <w:rFonts w:hint="eastAsia"/>
              </w:rPr>
              <w:t>以砂类土、砂砾石为主的岩组</w:t>
            </w:r>
          </w:p>
        </w:tc>
        <w:tc>
          <w:tcPr>
            <w:tcW w:w="1264" w:type="dxa"/>
            <w:shd w:val="clear" w:color="auto" w:fill="auto"/>
          </w:tcPr>
          <w:p w14:paraId="6DE1D402">
            <w:pPr>
              <w:pStyle w:val="180"/>
            </w:pPr>
            <w:r>
              <w:t>ST</w:t>
            </w:r>
          </w:p>
        </w:tc>
      </w:tr>
      <w:tr w14:paraId="7D1022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136B7449">
            <w:pPr>
              <w:pStyle w:val="180"/>
            </w:pPr>
          </w:p>
        </w:tc>
        <w:tc>
          <w:tcPr>
            <w:tcW w:w="5670" w:type="dxa"/>
            <w:shd w:val="clear" w:color="auto" w:fill="auto"/>
          </w:tcPr>
          <w:p w14:paraId="1C58BEA2">
            <w:pPr>
              <w:pStyle w:val="180"/>
            </w:pPr>
            <w:r>
              <w:rPr>
                <w:rFonts w:hint="eastAsia"/>
              </w:rPr>
              <w:t>以淤泥质土、粘性土、粉砂土为主的岩组</w:t>
            </w:r>
          </w:p>
        </w:tc>
        <w:tc>
          <w:tcPr>
            <w:tcW w:w="1264" w:type="dxa"/>
            <w:shd w:val="clear" w:color="auto" w:fill="auto"/>
          </w:tcPr>
          <w:p w14:paraId="1396037A">
            <w:pPr>
              <w:pStyle w:val="180"/>
            </w:pPr>
            <w:r>
              <w:t>NT</w:t>
            </w:r>
          </w:p>
        </w:tc>
      </w:tr>
      <w:tr w14:paraId="03A036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6F12323B">
            <w:pPr>
              <w:pStyle w:val="180"/>
            </w:pPr>
          </w:p>
        </w:tc>
        <w:tc>
          <w:tcPr>
            <w:tcW w:w="5670" w:type="dxa"/>
            <w:shd w:val="clear" w:color="auto" w:fill="auto"/>
          </w:tcPr>
          <w:p w14:paraId="281E05D5">
            <w:pPr>
              <w:pStyle w:val="180"/>
            </w:pPr>
            <w:r>
              <w:rPr>
                <w:rFonts w:hint="eastAsia"/>
              </w:rPr>
              <w:t>以松散-中密以砾石类土为主的岩组</w:t>
            </w:r>
          </w:p>
        </w:tc>
        <w:tc>
          <w:tcPr>
            <w:tcW w:w="1264" w:type="dxa"/>
            <w:shd w:val="clear" w:color="auto" w:fill="auto"/>
          </w:tcPr>
          <w:p w14:paraId="22D294B9">
            <w:pPr>
              <w:pStyle w:val="180"/>
            </w:pPr>
            <w:r>
              <w:t>LT</w:t>
            </w:r>
          </w:p>
        </w:tc>
      </w:tr>
    </w:tbl>
    <w:p w14:paraId="094A4FA5">
      <w:pPr>
        <w:pStyle w:val="79"/>
        <w:spacing w:before="156" w:after="156"/>
      </w:pPr>
      <w:r>
        <w:rPr>
          <w:rFonts w:hint="eastAsia"/>
        </w:rPr>
        <w:t>岩石风化程度划分表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41"/>
        <w:gridCol w:w="1134"/>
        <w:gridCol w:w="2835"/>
        <w:gridCol w:w="1843"/>
        <w:gridCol w:w="1842"/>
        <w:gridCol w:w="839"/>
      </w:tblGrid>
      <w:tr w14:paraId="6E8658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841" w:type="dxa"/>
            <w:tcBorders>
              <w:top w:val="single" w:color="auto" w:sz="8" w:space="0"/>
              <w:bottom w:val="single" w:color="auto" w:sz="8" w:space="0"/>
            </w:tcBorders>
            <w:shd w:val="clear" w:color="auto" w:fill="auto"/>
            <w:vAlign w:val="center"/>
          </w:tcPr>
          <w:p w14:paraId="3BEFB550">
            <w:pPr>
              <w:pStyle w:val="180"/>
            </w:pPr>
            <w:r>
              <w:rPr>
                <w:rFonts w:hint="eastAsia"/>
              </w:rPr>
              <w:t>类型</w:t>
            </w:r>
          </w:p>
        </w:tc>
        <w:tc>
          <w:tcPr>
            <w:tcW w:w="1134" w:type="dxa"/>
            <w:tcBorders>
              <w:top w:val="single" w:color="auto" w:sz="8" w:space="0"/>
              <w:bottom w:val="single" w:color="auto" w:sz="8" w:space="0"/>
            </w:tcBorders>
            <w:shd w:val="clear" w:color="auto" w:fill="auto"/>
            <w:vAlign w:val="center"/>
          </w:tcPr>
          <w:p w14:paraId="760B9B92">
            <w:pPr>
              <w:pStyle w:val="180"/>
            </w:pPr>
            <w:r>
              <w:rPr>
                <w:rFonts w:hint="eastAsia"/>
              </w:rPr>
              <w:t>岩矿颜色</w:t>
            </w:r>
          </w:p>
        </w:tc>
        <w:tc>
          <w:tcPr>
            <w:tcW w:w="2835" w:type="dxa"/>
            <w:tcBorders>
              <w:top w:val="single" w:color="auto" w:sz="8" w:space="0"/>
              <w:bottom w:val="single" w:color="auto" w:sz="8" w:space="0"/>
            </w:tcBorders>
            <w:shd w:val="clear" w:color="auto" w:fill="auto"/>
            <w:vAlign w:val="center"/>
          </w:tcPr>
          <w:p w14:paraId="365C2441">
            <w:pPr>
              <w:pStyle w:val="180"/>
            </w:pPr>
            <w:r>
              <w:rPr>
                <w:rFonts w:hint="eastAsia"/>
              </w:rPr>
              <w:t>岩石组织结构的变化及破碎情况</w:t>
            </w:r>
          </w:p>
        </w:tc>
        <w:tc>
          <w:tcPr>
            <w:tcW w:w="1843" w:type="dxa"/>
            <w:tcBorders>
              <w:top w:val="single" w:color="auto" w:sz="8" w:space="0"/>
              <w:bottom w:val="single" w:color="auto" w:sz="8" w:space="0"/>
            </w:tcBorders>
            <w:shd w:val="clear" w:color="auto" w:fill="auto"/>
            <w:vAlign w:val="center"/>
          </w:tcPr>
          <w:p w14:paraId="07E7A0F7">
            <w:pPr>
              <w:pStyle w:val="180"/>
            </w:pPr>
            <w:r>
              <w:rPr>
                <w:rFonts w:hint="eastAsia"/>
              </w:rPr>
              <w:t>矿物成分的变化</w:t>
            </w:r>
          </w:p>
        </w:tc>
        <w:tc>
          <w:tcPr>
            <w:tcW w:w="1842" w:type="dxa"/>
            <w:tcBorders>
              <w:top w:val="single" w:color="auto" w:sz="8" w:space="0"/>
              <w:bottom w:val="single" w:color="auto" w:sz="8" w:space="0"/>
            </w:tcBorders>
            <w:shd w:val="clear" w:color="auto" w:fill="auto"/>
            <w:vAlign w:val="center"/>
          </w:tcPr>
          <w:p w14:paraId="5C16E4EB">
            <w:pPr>
              <w:pStyle w:val="180"/>
            </w:pPr>
            <w:r>
              <w:rPr>
                <w:rFonts w:hint="eastAsia"/>
              </w:rPr>
              <w:t>物理力学特征</w:t>
            </w:r>
          </w:p>
        </w:tc>
        <w:tc>
          <w:tcPr>
            <w:tcW w:w="839" w:type="dxa"/>
            <w:tcBorders>
              <w:top w:val="single" w:color="auto" w:sz="8" w:space="0"/>
              <w:bottom w:val="single" w:color="auto" w:sz="8" w:space="0"/>
            </w:tcBorders>
            <w:shd w:val="clear" w:color="auto" w:fill="auto"/>
            <w:vAlign w:val="center"/>
          </w:tcPr>
          <w:p w14:paraId="7558E642">
            <w:pPr>
              <w:pStyle w:val="180"/>
            </w:pPr>
            <w:r>
              <w:rPr>
                <w:rFonts w:hint="eastAsia"/>
              </w:rPr>
              <w:t>锤击声</w:t>
            </w:r>
          </w:p>
        </w:tc>
      </w:tr>
      <w:tr w14:paraId="13994F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tcBorders>
              <w:top w:val="single" w:color="auto" w:sz="8" w:space="0"/>
            </w:tcBorders>
            <w:shd w:val="clear" w:color="auto" w:fill="auto"/>
            <w:vAlign w:val="center"/>
          </w:tcPr>
          <w:p w14:paraId="32FD2CBE">
            <w:pPr>
              <w:pStyle w:val="180"/>
            </w:pPr>
            <w:r>
              <w:rPr>
                <w:rFonts w:hint="eastAsia"/>
              </w:rPr>
              <w:t>全风化</w:t>
            </w:r>
          </w:p>
        </w:tc>
        <w:tc>
          <w:tcPr>
            <w:tcW w:w="1134" w:type="dxa"/>
            <w:tcBorders>
              <w:top w:val="single" w:color="auto" w:sz="8" w:space="0"/>
            </w:tcBorders>
            <w:shd w:val="clear" w:color="auto" w:fill="auto"/>
            <w:vAlign w:val="center"/>
          </w:tcPr>
          <w:p w14:paraId="35AA4892">
            <w:pPr>
              <w:pStyle w:val="180"/>
              <w:jc w:val="left"/>
            </w:pPr>
            <w:r>
              <w:rPr>
                <w:rFonts w:hint="eastAsia"/>
              </w:rPr>
              <w:t>颜色已改变，光泽消失</w:t>
            </w:r>
          </w:p>
        </w:tc>
        <w:tc>
          <w:tcPr>
            <w:tcW w:w="2835" w:type="dxa"/>
            <w:tcBorders>
              <w:top w:val="single" w:color="auto" w:sz="8" w:space="0"/>
            </w:tcBorders>
            <w:shd w:val="clear" w:color="auto" w:fill="auto"/>
            <w:vAlign w:val="center"/>
          </w:tcPr>
          <w:p w14:paraId="60AED0D2">
            <w:pPr>
              <w:pStyle w:val="180"/>
              <w:jc w:val="left"/>
            </w:pPr>
            <w:r>
              <w:rPr>
                <w:rFonts w:hint="eastAsia"/>
              </w:rPr>
              <w:t>组织结构已完全破坏，呈松散状或仅外观保持原岩状态，用手可折断捏碎，基本不含坚硬块体</w:t>
            </w:r>
          </w:p>
        </w:tc>
        <w:tc>
          <w:tcPr>
            <w:tcW w:w="1843" w:type="dxa"/>
            <w:tcBorders>
              <w:top w:val="single" w:color="auto" w:sz="8" w:space="0"/>
            </w:tcBorders>
            <w:shd w:val="clear" w:color="auto" w:fill="auto"/>
            <w:vAlign w:val="center"/>
          </w:tcPr>
          <w:p w14:paraId="2D8DE294">
            <w:pPr>
              <w:pStyle w:val="180"/>
              <w:jc w:val="left"/>
            </w:pPr>
            <w:r>
              <w:rPr>
                <w:rFonts w:hint="eastAsia"/>
              </w:rPr>
              <w:t>除石英晶粒外，其余矿物大部分风化变质形成风化次生矿物</w:t>
            </w:r>
          </w:p>
        </w:tc>
        <w:tc>
          <w:tcPr>
            <w:tcW w:w="1842" w:type="dxa"/>
            <w:tcBorders>
              <w:top w:val="single" w:color="auto" w:sz="8" w:space="0"/>
            </w:tcBorders>
            <w:shd w:val="clear" w:color="auto" w:fill="auto"/>
            <w:vAlign w:val="center"/>
          </w:tcPr>
          <w:p w14:paraId="373A1CE3">
            <w:pPr>
              <w:pStyle w:val="180"/>
              <w:jc w:val="left"/>
            </w:pPr>
            <w:r>
              <w:rPr>
                <w:rFonts w:hint="eastAsia"/>
              </w:rPr>
              <w:t>浸水崩解，与风化土层的性质近似</w:t>
            </w:r>
          </w:p>
        </w:tc>
        <w:tc>
          <w:tcPr>
            <w:tcW w:w="839" w:type="dxa"/>
            <w:tcBorders>
              <w:top w:val="single" w:color="auto" w:sz="8" w:space="0"/>
            </w:tcBorders>
            <w:shd w:val="clear" w:color="auto" w:fill="auto"/>
            <w:vAlign w:val="center"/>
          </w:tcPr>
          <w:p w14:paraId="4B72F121">
            <w:pPr>
              <w:pStyle w:val="180"/>
              <w:jc w:val="left"/>
            </w:pPr>
            <w:r>
              <w:rPr>
                <w:rFonts w:hint="eastAsia"/>
              </w:rPr>
              <w:t>似击土声</w:t>
            </w:r>
          </w:p>
        </w:tc>
      </w:tr>
      <w:tr w14:paraId="1E8341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14:paraId="7B8A3EDA">
            <w:pPr>
              <w:pStyle w:val="180"/>
            </w:pPr>
            <w:r>
              <w:rPr>
                <w:rFonts w:hint="eastAsia"/>
              </w:rPr>
              <w:t>强风化</w:t>
            </w:r>
          </w:p>
        </w:tc>
        <w:tc>
          <w:tcPr>
            <w:tcW w:w="1134" w:type="dxa"/>
            <w:shd w:val="clear" w:color="auto" w:fill="auto"/>
            <w:vAlign w:val="center"/>
          </w:tcPr>
          <w:p w14:paraId="019A1B00">
            <w:pPr>
              <w:pStyle w:val="180"/>
              <w:jc w:val="left"/>
            </w:pPr>
            <w:r>
              <w:rPr>
                <w:rFonts w:hint="eastAsia"/>
              </w:rPr>
              <w:t>颜色改变，仅岩块的断口中心尚保持原有颜色</w:t>
            </w:r>
          </w:p>
        </w:tc>
        <w:tc>
          <w:tcPr>
            <w:tcW w:w="2835" w:type="dxa"/>
            <w:shd w:val="clear" w:color="auto" w:fill="auto"/>
            <w:vAlign w:val="center"/>
          </w:tcPr>
          <w:p w14:paraId="100A6E66">
            <w:pPr>
              <w:pStyle w:val="180"/>
              <w:jc w:val="left"/>
            </w:pPr>
            <w:r>
              <w:rPr>
                <w:rFonts w:hint="eastAsia"/>
              </w:rPr>
              <w:t>外观具原岩组织结构，但裂隙发育，岩体呈干砌块石块、岩块上裂纹密布，疏松易碎；疏松物质与坚硬块体混杂</w:t>
            </w:r>
          </w:p>
        </w:tc>
        <w:tc>
          <w:tcPr>
            <w:tcW w:w="1843" w:type="dxa"/>
            <w:shd w:val="clear" w:color="auto" w:fill="auto"/>
            <w:vAlign w:val="center"/>
          </w:tcPr>
          <w:p w14:paraId="7B39F6A6">
            <w:pPr>
              <w:pStyle w:val="180"/>
              <w:jc w:val="left"/>
            </w:pPr>
            <w:r>
              <w:rPr>
                <w:rFonts w:hint="eastAsia"/>
              </w:rPr>
              <w:t>易风化矿物均已风化形成次生矿物，其他矿物部分保持原矿物特征</w:t>
            </w:r>
          </w:p>
        </w:tc>
        <w:tc>
          <w:tcPr>
            <w:tcW w:w="1842" w:type="dxa"/>
            <w:shd w:val="clear" w:color="auto" w:fill="auto"/>
            <w:vAlign w:val="center"/>
          </w:tcPr>
          <w:p w14:paraId="79B84177">
            <w:pPr>
              <w:pStyle w:val="180"/>
              <w:jc w:val="left"/>
            </w:pPr>
            <w:r>
              <w:rPr>
                <w:rFonts w:hint="eastAsia"/>
              </w:rPr>
              <w:t>物理力学性质显著减弱，单块为新鲜岩石的1/3或更小</w:t>
            </w:r>
          </w:p>
        </w:tc>
        <w:tc>
          <w:tcPr>
            <w:tcW w:w="839" w:type="dxa"/>
            <w:shd w:val="clear" w:color="auto" w:fill="auto"/>
            <w:vAlign w:val="center"/>
          </w:tcPr>
          <w:p w14:paraId="2CB45DE7">
            <w:pPr>
              <w:pStyle w:val="180"/>
              <w:jc w:val="left"/>
            </w:pPr>
            <w:r>
              <w:rPr>
                <w:rFonts w:hint="eastAsia"/>
              </w:rPr>
              <w:t>发哑声</w:t>
            </w:r>
          </w:p>
        </w:tc>
      </w:tr>
      <w:tr w14:paraId="470ACC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14:paraId="13779AC0">
            <w:pPr>
              <w:pStyle w:val="180"/>
            </w:pPr>
            <w:r>
              <w:rPr>
                <w:rFonts w:hint="eastAsia"/>
              </w:rPr>
              <w:t>中风化</w:t>
            </w:r>
          </w:p>
        </w:tc>
        <w:tc>
          <w:tcPr>
            <w:tcW w:w="1134" w:type="dxa"/>
            <w:shd w:val="clear" w:color="auto" w:fill="auto"/>
            <w:vAlign w:val="center"/>
          </w:tcPr>
          <w:p w14:paraId="6E7873FD">
            <w:pPr>
              <w:pStyle w:val="180"/>
              <w:jc w:val="left"/>
            </w:pPr>
            <w:r>
              <w:rPr>
                <w:rFonts w:hint="eastAsia"/>
              </w:rPr>
              <w:t>表面和沿节理面大部变色，但断口仍保持新鲜岩石特点</w:t>
            </w:r>
          </w:p>
        </w:tc>
        <w:tc>
          <w:tcPr>
            <w:tcW w:w="2835" w:type="dxa"/>
            <w:shd w:val="clear" w:color="auto" w:fill="auto"/>
            <w:vAlign w:val="center"/>
          </w:tcPr>
          <w:p w14:paraId="1E06B29D">
            <w:pPr>
              <w:pStyle w:val="180"/>
              <w:jc w:val="left"/>
            </w:pPr>
            <w:r>
              <w:rPr>
                <w:rFonts w:hint="eastAsia"/>
              </w:rPr>
              <w:t>组织结构大部完好，但风化裂隙发育，裂隙面风化剧烈，坚硬块体夹疏松物质</w:t>
            </w:r>
          </w:p>
        </w:tc>
        <w:tc>
          <w:tcPr>
            <w:tcW w:w="1843" w:type="dxa"/>
            <w:shd w:val="clear" w:color="auto" w:fill="auto"/>
            <w:vAlign w:val="center"/>
          </w:tcPr>
          <w:p w14:paraId="01FEF4B3">
            <w:pPr>
              <w:pStyle w:val="180"/>
              <w:jc w:val="left"/>
            </w:pPr>
            <w:r>
              <w:rPr>
                <w:rFonts w:hint="eastAsia"/>
              </w:rPr>
              <w:t>沿节理裂隙面出现次生风化矿物</w:t>
            </w:r>
          </w:p>
        </w:tc>
        <w:tc>
          <w:tcPr>
            <w:tcW w:w="1842" w:type="dxa"/>
            <w:shd w:val="clear" w:color="auto" w:fill="auto"/>
            <w:vAlign w:val="center"/>
          </w:tcPr>
          <w:p w14:paraId="2CFE2B54">
            <w:pPr>
              <w:pStyle w:val="180"/>
              <w:jc w:val="left"/>
            </w:pPr>
            <w:r>
              <w:rPr>
                <w:rFonts w:hint="eastAsia"/>
              </w:rPr>
              <w:t>物理力学性质减弱，单块为新鲜岩石的1/3～2/3</w:t>
            </w:r>
          </w:p>
        </w:tc>
        <w:tc>
          <w:tcPr>
            <w:tcW w:w="839" w:type="dxa"/>
            <w:shd w:val="clear" w:color="auto" w:fill="auto"/>
            <w:vAlign w:val="center"/>
          </w:tcPr>
          <w:p w14:paraId="2DD1071E">
            <w:pPr>
              <w:pStyle w:val="180"/>
              <w:jc w:val="left"/>
            </w:pPr>
            <w:r>
              <w:rPr>
                <w:rFonts w:hint="eastAsia"/>
              </w:rPr>
              <w:t>发声不够清脆</w:t>
            </w:r>
          </w:p>
        </w:tc>
      </w:tr>
      <w:tr w14:paraId="180C54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14:paraId="5E165B59">
            <w:pPr>
              <w:pStyle w:val="180"/>
            </w:pPr>
            <w:r>
              <w:rPr>
                <w:rFonts w:hint="eastAsia"/>
              </w:rPr>
              <w:t>微风化</w:t>
            </w:r>
          </w:p>
        </w:tc>
        <w:tc>
          <w:tcPr>
            <w:tcW w:w="1134" w:type="dxa"/>
            <w:shd w:val="clear" w:color="auto" w:fill="auto"/>
            <w:vAlign w:val="center"/>
          </w:tcPr>
          <w:p w14:paraId="1ABB5521">
            <w:pPr>
              <w:pStyle w:val="180"/>
              <w:jc w:val="left"/>
            </w:pPr>
            <w:r>
              <w:rPr>
                <w:rFonts w:hint="eastAsia"/>
              </w:rPr>
              <w:t>沿节理面略有变色</w:t>
            </w:r>
          </w:p>
        </w:tc>
        <w:tc>
          <w:tcPr>
            <w:tcW w:w="2835" w:type="dxa"/>
            <w:shd w:val="clear" w:color="auto" w:fill="auto"/>
            <w:vAlign w:val="center"/>
          </w:tcPr>
          <w:p w14:paraId="1FBD86C4">
            <w:pPr>
              <w:pStyle w:val="180"/>
              <w:jc w:val="left"/>
            </w:pPr>
            <w:r>
              <w:rPr>
                <w:rFonts w:hint="eastAsia"/>
              </w:rPr>
              <w:t>组织结构未变，仅沿裂隙有风化现象，无疏松物质</w:t>
            </w:r>
          </w:p>
        </w:tc>
        <w:tc>
          <w:tcPr>
            <w:tcW w:w="1843" w:type="dxa"/>
            <w:shd w:val="clear" w:color="auto" w:fill="auto"/>
            <w:vAlign w:val="center"/>
          </w:tcPr>
          <w:p w14:paraId="44E7D463">
            <w:pPr>
              <w:pStyle w:val="180"/>
              <w:jc w:val="left"/>
            </w:pPr>
            <w:r>
              <w:rPr>
                <w:rFonts w:hint="eastAsia"/>
              </w:rPr>
              <w:t>矿物未变，仅沿节理面有时可见铁锰质</w:t>
            </w:r>
          </w:p>
        </w:tc>
        <w:tc>
          <w:tcPr>
            <w:tcW w:w="1842" w:type="dxa"/>
            <w:shd w:val="clear" w:color="auto" w:fill="auto"/>
            <w:vAlign w:val="center"/>
          </w:tcPr>
          <w:p w14:paraId="0CCBA2E0">
            <w:pPr>
              <w:pStyle w:val="180"/>
              <w:jc w:val="left"/>
            </w:pPr>
            <w:r>
              <w:rPr>
                <w:rFonts w:hint="eastAsia"/>
              </w:rPr>
              <w:t>物理力学性质几乎不变，力学强度略有减弱</w:t>
            </w:r>
          </w:p>
        </w:tc>
        <w:tc>
          <w:tcPr>
            <w:tcW w:w="839" w:type="dxa"/>
            <w:shd w:val="clear" w:color="auto" w:fill="auto"/>
            <w:vAlign w:val="center"/>
          </w:tcPr>
          <w:p w14:paraId="7B3414BB">
            <w:pPr>
              <w:pStyle w:val="180"/>
              <w:jc w:val="left"/>
            </w:pPr>
            <w:r>
              <w:rPr>
                <w:rFonts w:hint="eastAsia"/>
              </w:rPr>
              <w:t>发声清脆</w:t>
            </w:r>
          </w:p>
        </w:tc>
      </w:tr>
    </w:tbl>
    <w:p w14:paraId="3D5E106F">
      <w:pPr>
        <w:pStyle w:val="58"/>
        <w:ind w:firstLine="420"/>
      </w:pPr>
    </w:p>
    <w:p w14:paraId="5682C6CC">
      <w:pPr>
        <w:pStyle w:val="58"/>
        <w:ind w:firstLine="420"/>
      </w:pPr>
    </w:p>
    <w:p w14:paraId="1C71BD1B">
      <w:pPr>
        <w:pStyle w:val="58"/>
        <w:ind w:firstLine="420"/>
        <w:sectPr>
          <w:pgSz w:w="11906" w:h="16838"/>
          <w:pgMar w:top="1928" w:right="1134" w:bottom="1134" w:left="1134" w:header="1418" w:footer="1134" w:gutter="284"/>
          <w:cols w:space="425" w:num="1"/>
          <w:formProt w:val="0"/>
          <w:docGrid w:type="lines" w:linePitch="312" w:charSpace="0"/>
        </w:sectPr>
      </w:pPr>
    </w:p>
    <w:p w14:paraId="4BC74463">
      <w:pPr>
        <w:pStyle w:val="200"/>
        <w:rPr>
          <w:vanish w:val="0"/>
        </w:rPr>
      </w:pPr>
    </w:p>
    <w:p w14:paraId="634DF7B1">
      <w:pPr>
        <w:pStyle w:val="201"/>
        <w:rPr>
          <w:vanish w:val="0"/>
        </w:rPr>
      </w:pPr>
    </w:p>
    <w:p w14:paraId="648A39A9">
      <w:pPr>
        <w:pStyle w:val="78"/>
        <w:spacing w:after="156"/>
      </w:pPr>
      <w:r>
        <w:br w:type="textWrapping"/>
      </w:r>
      <w:bookmarkStart w:id="316" w:name="_Toc176194170"/>
      <w:bookmarkStart w:id="317" w:name="_Toc178172374"/>
      <w:r>
        <w:rPr>
          <w:rFonts w:hint="eastAsia"/>
        </w:rPr>
        <w:t>（资料性）</w:t>
      </w:r>
      <w:r>
        <w:br w:type="textWrapping"/>
      </w:r>
      <w:r>
        <w:rPr>
          <w:rFonts w:hint="eastAsia"/>
        </w:rPr>
        <w:t>斜坡结构类型划分方案</w:t>
      </w:r>
      <w:bookmarkEnd w:id="316"/>
      <w:bookmarkEnd w:id="317"/>
    </w:p>
    <w:p w14:paraId="107A2090">
      <w:pPr>
        <w:pStyle w:val="80"/>
        <w:spacing w:before="156" w:after="156"/>
      </w:pPr>
      <w:bookmarkStart w:id="318" w:name="_Toc178172375"/>
      <w:bookmarkStart w:id="319" w:name="_Toc176194171"/>
      <w:r>
        <w:rPr>
          <w:rFonts w:hint="eastAsia"/>
        </w:rPr>
        <w:t>一级划分</w:t>
      </w:r>
      <w:bookmarkEnd w:id="318"/>
      <w:bookmarkEnd w:id="319"/>
    </w:p>
    <w:p w14:paraId="57BB5B49">
      <w:pPr>
        <w:pStyle w:val="176"/>
        <w:numPr>
          <w:ilvl w:val="0"/>
          <w:numId w:val="56"/>
        </w:numPr>
      </w:pPr>
      <w:r>
        <w:rPr>
          <w:rFonts w:hint="eastAsia"/>
        </w:rPr>
        <w:t>Ⅰ：土质斜坡，岩性以第四系松散堆积物为主，强度较低；</w:t>
      </w:r>
    </w:p>
    <w:p w14:paraId="49A9F3BC">
      <w:pPr>
        <w:pStyle w:val="176"/>
      </w:pPr>
      <w:r>
        <w:rPr>
          <w:rFonts w:hint="eastAsia"/>
        </w:rPr>
        <w:t>Ⅱ：岩质斜坡，主要由碎屑岩、碳酸盐岩、岩浆岩、变质岩组成；</w:t>
      </w:r>
    </w:p>
    <w:p w14:paraId="17F84293">
      <w:pPr>
        <w:pStyle w:val="176"/>
      </w:pPr>
      <w:r>
        <w:rPr>
          <w:rFonts w:hint="eastAsia"/>
        </w:rPr>
        <w:t>Ⅲ：崩、滑堆积体斜坡，斜坡主要为土质、岩质滑坡堆积物，或土石混合体组成；</w:t>
      </w:r>
    </w:p>
    <w:p w14:paraId="2A1EBBA0">
      <w:pPr>
        <w:pStyle w:val="176"/>
      </w:pPr>
      <w:r>
        <w:rPr>
          <w:rFonts w:hint="eastAsia"/>
        </w:rPr>
        <w:t>Ⅳ：岩土复合斜坡，下部为基岩，上覆松散堆积物的二元结构。</w:t>
      </w:r>
    </w:p>
    <w:p w14:paraId="1DE3D102">
      <w:pPr>
        <w:pStyle w:val="80"/>
        <w:spacing w:before="156" w:after="156"/>
      </w:pPr>
      <w:bookmarkStart w:id="320" w:name="_Toc176194172"/>
      <w:bookmarkStart w:id="321" w:name="_Toc178172376"/>
      <w:r>
        <w:rPr>
          <w:rFonts w:hint="eastAsia"/>
        </w:rPr>
        <w:t>二级划分</w:t>
      </w:r>
      <w:bookmarkEnd w:id="320"/>
      <w:bookmarkEnd w:id="321"/>
    </w:p>
    <w:p w14:paraId="34AF9BCF">
      <w:pPr>
        <w:pStyle w:val="58"/>
        <w:ind w:firstLine="420"/>
      </w:pPr>
      <w:r>
        <w:rPr>
          <w:rFonts w:hint="eastAsia"/>
        </w:rPr>
        <w:t>在一级划分的基础上，依据土体性质、地层岩性、产状、坡向、节理裂隙等要素划分。</w:t>
      </w:r>
    </w:p>
    <w:p w14:paraId="4FF91576">
      <w:pPr>
        <w:pStyle w:val="176"/>
        <w:numPr>
          <w:ilvl w:val="0"/>
          <w:numId w:val="57"/>
        </w:numPr>
      </w:pPr>
      <w:r>
        <w:rPr>
          <w:rFonts w:hint="eastAsia"/>
        </w:rPr>
        <w:t>Ⅰ类土质斜坡可根据物质组成分为黏性土类斜坡、碎石类斜坡、黄土类斜坡，亦可根据各类土体性质进一步划分。</w:t>
      </w:r>
    </w:p>
    <w:p w14:paraId="21B931BA">
      <w:pPr>
        <w:pStyle w:val="176"/>
      </w:pPr>
      <w:r>
        <w:rPr>
          <w:rFonts w:hint="eastAsia"/>
        </w:rPr>
        <w:t>Ⅱ类岩质斜坡可根据基岩层面倾向与地形坡向组合关系可进一步划分为以下6个亚类：</w:t>
      </w:r>
    </w:p>
    <w:p w14:paraId="58B56896">
      <w:pPr>
        <w:pStyle w:val="176"/>
      </w:pPr>
      <w:r>
        <w:rPr>
          <w:rFonts w:hint="eastAsia"/>
        </w:rPr>
        <w:t>顺向坡：岩层倾向与坡向夹角小于30°的斜坡类型。</w:t>
      </w:r>
    </w:p>
    <w:p w14:paraId="427A2F4A">
      <w:pPr>
        <w:pStyle w:val="176"/>
      </w:pPr>
      <w:r>
        <w:rPr>
          <w:rFonts w:hint="eastAsia"/>
        </w:rPr>
        <w:t>顺向坡可再细分为飘倾坡（斜坡坡度＞岩层倾角＞10°）、层面坡（斜坡坡度=岩层倾角＞10°）、伏倾坡（岩层倾角＞斜坡坡度＞10°）</w:t>
      </w:r>
    </w:p>
    <w:p w14:paraId="6474F9D4">
      <w:pPr>
        <w:pStyle w:val="176"/>
      </w:pPr>
      <w:r>
        <w:rPr>
          <w:rFonts w:hint="eastAsia"/>
        </w:rPr>
        <w:t>斜向坡：岩层倾向与坡向交角在30°～60°、120°～150°的斜坡类型；</w:t>
      </w:r>
    </w:p>
    <w:p w14:paraId="76A132F2">
      <w:pPr>
        <w:pStyle w:val="176"/>
      </w:pPr>
      <w:r>
        <w:rPr>
          <w:rFonts w:hint="eastAsia"/>
        </w:rPr>
        <w:t>横向坡：岩层倾向与坡向交角在60°～120°的斜坡类型；</w:t>
      </w:r>
    </w:p>
    <w:p w14:paraId="212C7490">
      <w:pPr>
        <w:pStyle w:val="176"/>
      </w:pPr>
      <w:r>
        <w:rPr>
          <w:rFonts w:hint="eastAsia"/>
        </w:rPr>
        <w:t>逆向坡：岩层倾向与坡向交角在150°～180°的斜坡类型；</w:t>
      </w:r>
    </w:p>
    <w:p w14:paraId="41807B86">
      <w:pPr>
        <w:pStyle w:val="176"/>
      </w:pPr>
      <w:r>
        <w:rPr>
          <w:rFonts w:hint="eastAsia"/>
        </w:rPr>
        <w:t>近水平层状坡：岩层倾角小于 5°的斜坡类型；</w:t>
      </w:r>
    </w:p>
    <w:p w14:paraId="790F9AE5">
      <w:pPr>
        <w:pStyle w:val="176"/>
      </w:pPr>
      <w:r>
        <w:rPr>
          <w:rFonts w:hint="eastAsia"/>
        </w:rPr>
        <w:t>块状结构斜坡：没有明显的层理构造，主要受节理控制的岩石斜坡类型。</w:t>
      </w:r>
    </w:p>
    <w:p w14:paraId="66B62D83">
      <w:pPr>
        <w:pStyle w:val="176"/>
      </w:pPr>
      <w:r>
        <w:rPr>
          <w:rFonts w:hint="eastAsia"/>
        </w:rPr>
        <w:t>类岩土复合斜坡又可根据下伏基岩的岩层面倾向与地形坡向之间的夹角进一步划分，其划分方法与Ⅱ岩质斜坡二级划分相同。</w:t>
      </w:r>
    </w:p>
    <w:p w14:paraId="20E75BD9">
      <w:pPr>
        <w:pStyle w:val="58"/>
        <w:ind w:firstLine="420"/>
      </w:pPr>
    </w:p>
    <w:p w14:paraId="42FB64B7">
      <w:pPr>
        <w:pStyle w:val="58"/>
        <w:ind w:firstLine="420"/>
      </w:pPr>
    </w:p>
    <w:p w14:paraId="6F201117">
      <w:pPr>
        <w:pStyle w:val="58"/>
        <w:ind w:firstLine="420"/>
        <w:sectPr>
          <w:pgSz w:w="11906" w:h="16838"/>
          <w:pgMar w:top="1928" w:right="1134" w:bottom="1134" w:left="1134" w:header="1418" w:footer="1134" w:gutter="284"/>
          <w:cols w:space="425" w:num="1"/>
          <w:formProt w:val="0"/>
          <w:docGrid w:type="lines" w:linePitch="312" w:charSpace="0"/>
        </w:sectPr>
      </w:pPr>
    </w:p>
    <w:p w14:paraId="503DF8E1">
      <w:pPr>
        <w:pStyle w:val="200"/>
        <w:rPr>
          <w:vanish w:val="0"/>
        </w:rPr>
      </w:pPr>
    </w:p>
    <w:p w14:paraId="01A4D7E0">
      <w:pPr>
        <w:pStyle w:val="201"/>
        <w:rPr>
          <w:vanish w:val="0"/>
        </w:rPr>
      </w:pPr>
    </w:p>
    <w:p w14:paraId="32BDECC0">
      <w:pPr>
        <w:pStyle w:val="78"/>
        <w:spacing w:after="156"/>
      </w:pPr>
      <w:r>
        <w:br w:type="textWrapping"/>
      </w:r>
      <w:bookmarkStart w:id="322" w:name="_Toc178172377"/>
      <w:bookmarkStart w:id="323" w:name="_Toc176194173"/>
      <w:r>
        <w:rPr>
          <w:rFonts w:hint="eastAsia"/>
        </w:rPr>
        <w:t>（规范性）</w:t>
      </w:r>
      <w:r>
        <w:br w:type="textWrapping"/>
      </w:r>
      <w:r>
        <w:rPr>
          <w:rFonts w:hint="eastAsia"/>
        </w:rPr>
        <w:t>地质灾害分类表</w:t>
      </w:r>
      <w:bookmarkEnd w:id="322"/>
      <w:bookmarkEnd w:id="323"/>
    </w:p>
    <w:p w14:paraId="16237C75">
      <w:pPr>
        <w:pStyle w:val="79"/>
        <w:spacing w:before="156" w:after="156"/>
      </w:pPr>
      <w:r>
        <w:rPr>
          <w:rFonts w:hint="eastAsia"/>
        </w:rPr>
        <w:t>滑坡分类表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1"/>
        <w:gridCol w:w="1418"/>
        <w:gridCol w:w="6225"/>
      </w:tblGrid>
      <w:tr w14:paraId="18B827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tcPr>
          <w:p w14:paraId="3E0FDE02">
            <w:pPr>
              <w:pStyle w:val="180"/>
            </w:pPr>
            <w:r>
              <w:rPr>
                <w:rFonts w:hint="eastAsia"/>
              </w:rPr>
              <w:t>划分依据</w:t>
            </w:r>
          </w:p>
        </w:tc>
        <w:tc>
          <w:tcPr>
            <w:tcW w:w="1418" w:type="dxa"/>
            <w:tcBorders>
              <w:top w:val="single" w:color="auto" w:sz="8" w:space="0"/>
              <w:bottom w:val="single" w:color="auto" w:sz="8" w:space="0"/>
            </w:tcBorders>
            <w:shd w:val="clear" w:color="auto" w:fill="auto"/>
          </w:tcPr>
          <w:p w14:paraId="01C4DA82">
            <w:pPr>
              <w:pStyle w:val="180"/>
            </w:pPr>
            <w:r>
              <w:rPr>
                <w:rFonts w:hint="eastAsia"/>
              </w:rPr>
              <w:t>名称类别</w:t>
            </w:r>
          </w:p>
        </w:tc>
        <w:tc>
          <w:tcPr>
            <w:tcW w:w="6225" w:type="dxa"/>
            <w:tcBorders>
              <w:top w:val="single" w:color="auto" w:sz="8" w:space="0"/>
              <w:bottom w:val="single" w:color="auto" w:sz="8" w:space="0"/>
            </w:tcBorders>
            <w:shd w:val="clear" w:color="auto" w:fill="auto"/>
          </w:tcPr>
          <w:p w14:paraId="77FF504A">
            <w:pPr>
              <w:pStyle w:val="180"/>
            </w:pPr>
            <w:r>
              <w:rPr>
                <w:rFonts w:hint="eastAsia"/>
              </w:rPr>
              <w:t>特征说明</w:t>
            </w:r>
          </w:p>
        </w:tc>
      </w:tr>
      <w:tr w14:paraId="732D9D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tcBorders>
              <w:top w:val="single" w:color="auto" w:sz="8" w:space="0"/>
            </w:tcBorders>
            <w:shd w:val="clear" w:color="auto" w:fill="auto"/>
            <w:vAlign w:val="center"/>
          </w:tcPr>
          <w:p w14:paraId="6BCBDF26">
            <w:pPr>
              <w:pStyle w:val="180"/>
            </w:pPr>
            <w:r>
              <w:rPr>
                <w:rFonts w:hint="eastAsia"/>
              </w:rPr>
              <w:t>物质组成</w:t>
            </w:r>
          </w:p>
        </w:tc>
        <w:tc>
          <w:tcPr>
            <w:tcW w:w="1418" w:type="dxa"/>
            <w:tcBorders>
              <w:top w:val="single" w:color="auto" w:sz="8" w:space="0"/>
            </w:tcBorders>
            <w:shd w:val="clear" w:color="auto" w:fill="auto"/>
          </w:tcPr>
          <w:p w14:paraId="073C9B03">
            <w:pPr>
              <w:pStyle w:val="180"/>
            </w:pPr>
            <w:r>
              <w:rPr>
                <w:rFonts w:hint="eastAsia"/>
              </w:rPr>
              <w:t>土质滑坡</w:t>
            </w:r>
          </w:p>
        </w:tc>
        <w:tc>
          <w:tcPr>
            <w:tcW w:w="6225" w:type="dxa"/>
            <w:tcBorders>
              <w:top w:val="single" w:color="auto" w:sz="8" w:space="0"/>
            </w:tcBorders>
            <w:shd w:val="clear" w:color="auto" w:fill="auto"/>
          </w:tcPr>
          <w:p w14:paraId="3B136C46">
            <w:pPr>
              <w:pStyle w:val="180"/>
            </w:pPr>
            <w:r>
              <w:rPr>
                <w:rFonts w:hint="eastAsia"/>
              </w:rPr>
              <w:t>发生在冲积、洪积、坡积、崩积、残积等松散层中的滑坡</w:t>
            </w:r>
          </w:p>
        </w:tc>
      </w:tr>
      <w:tr w14:paraId="6F0249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37FB9E48">
            <w:pPr>
              <w:pStyle w:val="180"/>
            </w:pPr>
          </w:p>
        </w:tc>
        <w:tc>
          <w:tcPr>
            <w:tcW w:w="1418" w:type="dxa"/>
            <w:shd w:val="clear" w:color="auto" w:fill="auto"/>
          </w:tcPr>
          <w:p w14:paraId="4AF3F65D">
            <w:pPr>
              <w:pStyle w:val="180"/>
            </w:pPr>
            <w:r>
              <w:rPr>
                <w:rFonts w:hint="eastAsia"/>
              </w:rPr>
              <w:t>岩质滑坡</w:t>
            </w:r>
          </w:p>
        </w:tc>
        <w:tc>
          <w:tcPr>
            <w:tcW w:w="6225" w:type="dxa"/>
            <w:shd w:val="clear" w:color="auto" w:fill="auto"/>
          </w:tcPr>
          <w:p w14:paraId="0C3F2F32">
            <w:pPr>
              <w:pStyle w:val="180"/>
            </w:pPr>
            <w:r>
              <w:rPr>
                <w:rFonts w:hint="eastAsia"/>
              </w:rPr>
              <w:t>发生在基岩中的滑坡</w:t>
            </w:r>
          </w:p>
        </w:tc>
      </w:tr>
      <w:tr w14:paraId="10925D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45D39075">
            <w:pPr>
              <w:pStyle w:val="180"/>
            </w:pPr>
            <w:r>
              <w:rPr>
                <w:rFonts w:hint="eastAsia"/>
              </w:rPr>
              <w:t>滑面与岩层面关系</w:t>
            </w:r>
          </w:p>
        </w:tc>
        <w:tc>
          <w:tcPr>
            <w:tcW w:w="1418" w:type="dxa"/>
            <w:shd w:val="clear" w:color="auto" w:fill="auto"/>
          </w:tcPr>
          <w:p w14:paraId="6059A65A">
            <w:pPr>
              <w:pStyle w:val="180"/>
            </w:pPr>
            <w:r>
              <w:rPr>
                <w:rFonts w:hint="eastAsia"/>
              </w:rPr>
              <w:t>顺层滑坡</w:t>
            </w:r>
          </w:p>
        </w:tc>
        <w:tc>
          <w:tcPr>
            <w:tcW w:w="6225" w:type="dxa"/>
            <w:shd w:val="clear" w:color="auto" w:fill="auto"/>
          </w:tcPr>
          <w:p w14:paraId="6A4FC055">
            <w:pPr>
              <w:pStyle w:val="180"/>
            </w:pPr>
            <w:r>
              <w:rPr>
                <w:rFonts w:hint="eastAsia"/>
              </w:rPr>
              <w:t>沿层面滑动的滑坡，发生在岩层倾向与坡向一致，且倾角＜坡角；残、坡积物顺着下部基岩层面滑动的滑坡，亦属顺层滑坡。</w:t>
            </w:r>
          </w:p>
        </w:tc>
      </w:tr>
      <w:tr w14:paraId="503CDA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A1856E0">
            <w:pPr>
              <w:pStyle w:val="180"/>
            </w:pPr>
          </w:p>
        </w:tc>
        <w:tc>
          <w:tcPr>
            <w:tcW w:w="1418" w:type="dxa"/>
            <w:shd w:val="clear" w:color="auto" w:fill="auto"/>
          </w:tcPr>
          <w:p w14:paraId="72C9B580">
            <w:pPr>
              <w:pStyle w:val="180"/>
            </w:pPr>
            <w:r>
              <w:rPr>
                <w:rFonts w:hint="eastAsia"/>
              </w:rPr>
              <w:t>切层滑坡</w:t>
            </w:r>
          </w:p>
        </w:tc>
        <w:tc>
          <w:tcPr>
            <w:tcW w:w="6225" w:type="dxa"/>
            <w:shd w:val="clear" w:color="auto" w:fill="auto"/>
          </w:tcPr>
          <w:p w14:paraId="3F44DF71">
            <w:pPr>
              <w:pStyle w:val="180"/>
            </w:pPr>
            <w:r>
              <w:rPr>
                <w:rFonts w:hint="eastAsia"/>
              </w:rPr>
              <w:t>滑动面与岩层面相切，常沿倾向山外的一组软弱结构面发生，多分布在逆向坡或近水平岩层的斜坡。</w:t>
            </w:r>
          </w:p>
        </w:tc>
      </w:tr>
      <w:tr w14:paraId="5F2106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498EA2AB">
            <w:pPr>
              <w:pStyle w:val="180"/>
            </w:pPr>
            <w:r>
              <w:rPr>
                <w:rFonts w:hint="eastAsia"/>
              </w:rPr>
              <w:t>滑体厚度</w:t>
            </w:r>
          </w:p>
        </w:tc>
        <w:tc>
          <w:tcPr>
            <w:tcW w:w="1418" w:type="dxa"/>
            <w:shd w:val="clear" w:color="auto" w:fill="auto"/>
          </w:tcPr>
          <w:p w14:paraId="000361E7">
            <w:pPr>
              <w:pStyle w:val="180"/>
            </w:pPr>
            <w:r>
              <w:rPr>
                <w:rFonts w:hint="eastAsia"/>
              </w:rPr>
              <w:t>浅层滑坡</w:t>
            </w:r>
          </w:p>
        </w:tc>
        <w:tc>
          <w:tcPr>
            <w:tcW w:w="6225" w:type="dxa"/>
            <w:shd w:val="clear" w:color="auto" w:fill="auto"/>
          </w:tcPr>
          <w:p w14:paraId="1CCF7DFD">
            <w:pPr>
              <w:pStyle w:val="180"/>
            </w:pPr>
            <w:r>
              <w:rPr>
                <w:rFonts w:hint="eastAsia"/>
              </w:rPr>
              <w:t>滑坡体厚度＜10m</w:t>
            </w:r>
          </w:p>
        </w:tc>
      </w:tr>
      <w:tr w14:paraId="4BE2BA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10A62F2">
            <w:pPr>
              <w:pStyle w:val="180"/>
            </w:pPr>
          </w:p>
        </w:tc>
        <w:tc>
          <w:tcPr>
            <w:tcW w:w="1418" w:type="dxa"/>
            <w:shd w:val="clear" w:color="auto" w:fill="auto"/>
          </w:tcPr>
          <w:p w14:paraId="5682A758">
            <w:pPr>
              <w:pStyle w:val="180"/>
            </w:pPr>
            <w:r>
              <w:rPr>
                <w:rFonts w:hint="eastAsia"/>
              </w:rPr>
              <w:t>中层滑坡</w:t>
            </w:r>
          </w:p>
        </w:tc>
        <w:tc>
          <w:tcPr>
            <w:tcW w:w="6225" w:type="dxa"/>
            <w:shd w:val="clear" w:color="auto" w:fill="auto"/>
          </w:tcPr>
          <w:p w14:paraId="6D5AB51B">
            <w:pPr>
              <w:pStyle w:val="180"/>
            </w:pPr>
            <w:r>
              <w:rPr>
                <w:rFonts w:hint="eastAsia"/>
              </w:rPr>
              <w:t>滑坡体厚度10m～25m</w:t>
            </w:r>
          </w:p>
        </w:tc>
      </w:tr>
      <w:tr w14:paraId="530108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413FE1D">
            <w:pPr>
              <w:pStyle w:val="180"/>
            </w:pPr>
          </w:p>
        </w:tc>
        <w:tc>
          <w:tcPr>
            <w:tcW w:w="1418" w:type="dxa"/>
            <w:shd w:val="clear" w:color="auto" w:fill="auto"/>
          </w:tcPr>
          <w:p w14:paraId="1E087C33">
            <w:pPr>
              <w:pStyle w:val="180"/>
            </w:pPr>
            <w:r>
              <w:rPr>
                <w:rFonts w:hint="eastAsia"/>
              </w:rPr>
              <w:t>深层滑坡</w:t>
            </w:r>
          </w:p>
        </w:tc>
        <w:tc>
          <w:tcPr>
            <w:tcW w:w="6225" w:type="dxa"/>
            <w:shd w:val="clear" w:color="auto" w:fill="auto"/>
          </w:tcPr>
          <w:p w14:paraId="469165F3">
            <w:pPr>
              <w:pStyle w:val="180"/>
            </w:pPr>
            <w:r>
              <w:rPr>
                <w:rFonts w:hint="eastAsia"/>
              </w:rPr>
              <w:t>滑坡体厚度25m～50m</w:t>
            </w:r>
          </w:p>
        </w:tc>
      </w:tr>
      <w:tr w14:paraId="0B7711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9B68FD0">
            <w:pPr>
              <w:pStyle w:val="180"/>
            </w:pPr>
          </w:p>
        </w:tc>
        <w:tc>
          <w:tcPr>
            <w:tcW w:w="1418" w:type="dxa"/>
            <w:shd w:val="clear" w:color="auto" w:fill="auto"/>
          </w:tcPr>
          <w:p w14:paraId="1BB81CE5">
            <w:pPr>
              <w:pStyle w:val="180"/>
            </w:pPr>
            <w:r>
              <w:rPr>
                <w:rFonts w:hint="eastAsia"/>
              </w:rPr>
              <w:t>超深层滑坡</w:t>
            </w:r>
          </w:p>
        </w:tc>
        <w:tc>
          <w:tcPr>
            <w:tcW w:w="6225" w:type="dxa"/>
            <w:shd w:val="clear" w:color="auto" w:fill="auto"/>
          </w:tcPr>
          <w:p w14:paraId="01393A1D">
            <w:pPr>
              <w:pStyle w:val="180"/>
            </w:pPr>
            <w:r>
              <w:rPr>
                <w:rFonts w:hint="eastAsia"/>
              </w:rPr>
              <w:t>滑坡体厚度≥50m</w:t>
            </w:r>
          </w:p>
        </w:tc>
      </w:tr>
      <w:tr w14:paraId="3FD473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71E7205C">
            <w:pPr>
              <w:pStyle w:val="180"/>
            </w:pPr>
            <w:r>
              <w:rPr>
                <w:rFonts w:hint="eastAsia"/>
              </w:rPr>
              <w:t>始滑部位及运移形式</w:t>
            </w:r>
          </w:p>
        </w:tc>
        <w:tc>
          <w:tcPr>
            <w:tcW w:w="1418" w:type="dxa"/>
            <w:shd w:val="clear" w:color="auto" w:fill="auto"/>
          </w:tcPr>
          <w:p w14:paraId="4AD14BFD">
            <w:pPr>
              <w:pStyle w:val="180"/>
            </w:pPr>
            <w:r>
              <w:rPr>
                <w:rFonts w:hint="eastAsia"/>
              </w:rPr>
              <w:t>推移式滑坡</w:t>
            </w:r>
          </w:p>
        </w:tc>
        <w:tc>
          <w:tcPr>
            <w:tcW w:w="6225" w:type="dxa"/>
            <w:shd w:val="clear" w:color="auto" w:fill="auto"/>
          </w:tcPr>
          <w:p w14:paraId="5A5D13FB">
            <w:pPr>
              <w:pStyle w:val="180"/>
            </w:pPr>
            <w:r>
              <w:rPr>
                <w:rFonts w:hint="eastAsia"/>
              </w:rPr>
              <w:t>始滑部位位于滑坡后缘，主要动力来自滑坡后部的加载</w:t>
            </w:r>
          </w:p>
        </w:tc>
      </w:tr>
      <w:tr w14:paraId="7DDC9D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466987A">
            <w:pPr>
              <w:pStyle w:val="180"/>
            </w:pPr>
          </w:p>
        </w:tc>
        <w:tc>
          <w:tcPr>
            <w:tcW w:w="1418" w:type="dxa"/>
            <w:shd w:val="clear" w:color="auto" w:fill="auto"/>
          </w:tcPr>
          <w:p w14:paraId="7EF457FC">
            <w:pPr>
              <w:pStyle w:val="180"/>
            </w:pPr>
            <w:r>
              <w:rPr>
                <w:rFonts w:hint="eastAsia"/>
              </w:rPr>
              <w:t>牵引式滑坡</w:t>
            </w:r>
          </w:p>
        </w:tc>
        <w:tc>
          <w:tcPr>
            <w:tcW w:w="6225" w:type="dxa"/>
            <w:shd w:val="clear" w:color="auto" w:fill="auto"/>
          </w:tcPr>
          <w:p w14:paraId="7EE04C50">
            <w:pPr>
              <w:pStyle w:val="180"/>
            </w:pPr>
            <w:r>
              <w:rPr>
                <w:rFonts w:hint="eastAsia"/>
              </w:rPr>
              <w:t>始滑部位在滑坡前缘，主要原因是坡脚受河流冲刷或人工开挖</w:t>
            </w:r>
          </w:p>
        </w:tc>
      </w:tr>
      <w:tr w14:paraId="2517F3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38BD078">
            <w:pPr>
              <w:pStyle w:val="180"/>
            </w:pPr>
          </w:p>
        </w:tc>
        <w:tc>
          <w:tcPr>
            <w:tcW w:w="1418" w:type="dxa"/>
            <w:shd w:val="clear" w:color="auto" w:fill="auto"/>
          </w:tcPr>
          <w:p w14:paraId="75C94D4E">
            <w:pPr>
              <w:pStyle w:val="180"/>
            </w:pPr>
            <w:r>
              <w:rPr>
                <w:rFonts w:hint="eastAsia"/>
              </w:rPr>
              <w:t>复合式滑坡</w:t>
            </w:r>
          </w:p>
        </w:tc>
        <w:tc>
          <w:tcPr>
            <w:tcW w:w="6225" w:type="dxa"/>
            <w:shd w:val="clear" w:color="auto" w:fill="auto"/>
          </w:tcPr>
          <w:p w14:paraId="46A78EA4">
            <w:pPr>
              <w:pStyle w:val="180"/>
            </w:pPr>
            <w:r>
              <w:rPr>
                <w:rFonts w:hint="eastAsia"/>
              </w:rPr>
              <w:t>后部推移、前缘牵引的共同作用下发生</w:t>
            </w:r>
          </w:p>
        </w:tc>
      </w:tr>
      <w:tr w14:paraId="25796E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22DB0D7B">
            <w:pPr>
              <w:pStyle w:val="180"/>
            </w:pPr>
            <w:r>
              <w:rPr>
                <w:rFonts w:hint="eastAsia"/>
              </w:rPr>
              <w:t>诱发因素</w:t>
            </w:r>
          </w:p>
        </w:tc>
        <w:tc>
          <w:tcPr>
            <w:tcW w:w="1418" w:type="dxa"/>
            <w:shd w:val="clear" w:color="auto" w:fill="auto"/>
          </w:tcPr>
          <w:p w14:paraId="48A0E281">
            <w:pPr>
              <w:pStyle w:val="180"/>
            </w:pPr>
            <w:r>
              <w:rPr>
                <w:rFonts w:hint="eastAsia"/>
              </w:rPr>
              <w:t>工程滑坡</w:t>
            </w:r>
          </w:p>
        </w:tc>
        <w:tc>
          <w:tcPr>
            <w:tcW w:w="6225" w:type="dxa"/>
            <w:shd w:val="clear" w:color="auto" w:fill="auto"/>
          </w:tcPr>
          <w:p w14:paraId="5F1E38E4">
            <w:pPr>
              <w:pStyle w:val="180"/>
            </w:pPr>
            <w:r>
              <w:rPr>
                <w:rFonts w:hint="eastAsia"/>
              </w:rPr>
              <w:t>由施工开挖、建筑物加载和水库蓄水等工程活动引起的滑坡</w:t>
            </w:r>
          </w:p>
        </w:tc>
      </w:tr>
      <w:tr w14:paraId="1BD84E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3E8B3F46">
            <w:pPr>
              <w:pStyle w:val="180"/>
            </w:pPr>
          </w:p>
        </w:tc>
        <w:tc>
          <w:tcPr>
            <w:tcW w:w="1418" w:type="dxa"/>
            <w:shd w:val="clear" w:color="auto" w:fill="auto"/>
          </w:tcPr>
          <w:p w14:paraId="7F072C54">
            <w:pPr>
              <w:pStyle w:val="180"/>
            </w:pPr>
            <w:r>
              <w:rPr>
                <w:rFonts w:hint="eastAsia"/>
              </w:rPr>
              <w:t>自然滑坡</w:t>
            </w:r>
          </w:p>
        </w:tc>
        <w:tc>
          <w:tcPr>
            <w:tcW w:w="6225" w:type="dxa"/>
            <w:shd w:val="clear" w:color="auto" w:fill="auto"/>
          </w:tcPr>
          <w:p w14:paraId="513C92CB">
            <w:pPr>
              <w:pStyle w:val="180"/>
            </w:pPr>
            <w:r>
              <w:rPr>
                <w:rFonts w:hint="eastAsia"/>
              </w:rPr>
              <w:t>由自然地质作用产生的滑坡</w:t>
            </w:r>
          </w:p>
        </w:tc>
      </w:tr>
      <w:tr w14:paraId="47A52C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5444013B">
            <w:pPr>
              <w:pStyle w:val="180"/>
            </w:pPr>
            <w:r>
              <w:rPr>
                <w:rFonts w:hint="eastAsia"/>
              </w:rPr>
              <w:t>形成年代</w:t>
            </w:r>
          </w:p>
        </w:tc>
        <w:tc>
          <w:tcPr>
            <w:tcW w:w="1418" w:type="dxa"/>
            <w:shd w:val="clear" w:color="auto" w:fill="auto"/>
          </w:tcPr>
          <w:p w14:paraId="4FF02965">
            <w:pPr>
              <w:pStyle w:val="180"/>
            </w:pPr>
            <w:r>
              <w:rPr>
                <w:rFonts w:hint="eastAsia"/>
              </w:rPr>
              <w:t>新滑坡</w:t>
            </w:r>
          </w:p>
        </w:tc>
        <w:tc>
          <w:tcPr>
            <w:tcW w:w="6225" w:type="dxa"/>
            <w:shd w:val="clear" w:color="auto" w:fill="auto"/>
          </w:tcPr>
          <w:p w14:paraId="4B70F649">
            <w:pPr>
              <w:pStyle w:val="180"/>
            </w:pPr>
            <w:r>
              <w:rPr>
                <w:rFonts w:hint="eastAsia"/>
              </w:rPr>
              <w:t>现今正在发生滑动的滑坡</w:t>
            </w:r>
          </w:p>
        </w:tc>
      </w:tr>
      <w:tr w14:paraId="439304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269F9C5F">
            <w:pPr>
              <w:pStyle w:val="180"/>
            </w:pPr>
          </w:p>
        </w:tc>
        <w:tc>
          <w:tcPr>
            <w:tcW w:w="1418" w:type="dxa"/>
            <w:shd w:val="clear" w:color="auto" w:fill="auto"/>
          </w:tcPr>
          <w:p w14:paraId="543EAB6C">
            <w:pPr>
              <w:pStyle w:val="180"/>
            </w:pPr>
            <w:r>
              <w:rPr>
                <w:rFonts w:hint="eastAsia"/>
              </w:rPr>
              <w:t>老滑坡</w:t>
            </w:r>
          </w:p>
        </w:tc>
        <w:tc>
          <w:tcPr>
            <w:tcW w:w="6225" w:type="dxa"/>
            <w:shd w:val="clear" w:color="auto" w:fill="auto"/>
          </w:tcPr>
          <w:p w14:paraId="03432FF2">
            <w:pPr>
              <w:pStyle w:val="180"/>
            </w:pPr>
            <w:r>
              <w:rPr>
                <w:rFonts w:hint="eastAsia"/>
              </w:rPr>
              <w:t>全新世以来发生滑动，现今整体稳定的滑坡</w:t>
            </w:r>
          </w:p>
        </w:tc>
      </w:tr>
      <w:tr w14:paraId="344270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7A33794F">
            <w:pPr>
              <w:pStyle w:val="180"/>
            </w:pPr>
          </w:p>
        </w:tc>
        <w:tc>
          <w:tcPr>
            <w:tcW w:w="1418" w:type="dxa"/>
            <w:shd w:val="clear" w:color="auto" w:fill="auto"/>
          </w:tcPr>
          <w:p w14:paraId="23C1D844">
            <w:pPr>
              <w:pStyle w:val="180"/>
            </w:pPr>
            <w:r>
              <w:rPr>
                <w:rFonts w:hint="eastAsia"/>
              </w:rPr>
              <w:t>古滑坡</w:t>
            </w:r>
          </w:p>
        </w:tc>
        <w:tc>
          <w:tcPr>
            <w:tcW w:w="6225" w:type="dxa"/>
            <w:shd w:val="clear" w:color="auto" w:fill="auto"/>
          </w:tcPr>
          <w:p w14:paraId="5E927940">
            <w:pPr>
              <w:pStyle w:val="180"/>
            </w:pPr>
            <w:r>
              <w:rPr>
                <w:rFonts w:hint="eastAsia"/>
              </w:rPr>
              <w:t>全新世以前发生滑动，现今整体稳定的滑坡</w:t>
            </w:r>
          </w:p>
        </w:tc>
      </w:tr>
      <w:tr w14:paraId="76CE7B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73D76091">
            <w:pPr>
              <w:pStyle w:val="180"/>
            </w:pPr>
            <w:r>
              <w:rPr>
                <w:rFonts w:hint="eastAsia"/>
              </w:rPr>
              <w:t>滑体体积</w:t>
            </w:r>
          </w:p>
        </w:tc>
        <w:tc>
          <w:tcPr>
            <w:tcW w:w="1418" w:type="dxa"/>
            <w:shd w:val="clear" w:color="auto" w:fill="auto"/>
          </w:tcPr>
          <w:p w14:paraId="28A0872C">
            <w:pPr>
              <w:pStyle w:val="180"/>
            </w:pPr>
            <w:r>
              <w:rPr>
                <w:rFonts w:hint="eastAsia"/>
              </w:rPr>
              <w:t>小型滑坡</w:t>
            </w:r>
          </w:p>
        </w:tc>
        <w:tc>
          <w:tcPr>
            <w:tcW w:w="6225" w:type="dxa"/>
            <w:shd w:val="clear" w:color="auto" w:fill="auto"/>
          </w:tcPr>
          <w:p w14:paraId="316E7D6D">
            <w:pPr>
              <w:pStyle w:val="180"/>
            </w:pPr>
            <w:r>
              <w:rPr>
                <w:rFonts w:hint="eastAsia"/>
              </w:rPr>
              <w:t>＜10×10</w:t>
            </w:r>
            <w:r>
              <w:rPr>
                <w:rFonts w:hint="eastAsia"/>
                <w:vertAlign w:val="superscript"/>
              </w:rPr>
              <w:t>4</w:t>
            </w:r>
            <w:r>
              <w:rPr>
                <w:rFonts w:hint="eastAsia"/>
              </w:rPr>
              <w:t xml:space="preserve"> m</w:t>
            </w:r>
            <w:r>
              <w:rPr>
                <w:rFonts w:hint="eastAsia"/>
                <w:vertAlign w:val="superscript"/>
              </w:rPr>
              <w:t>3</w:t>
            </w:r>
          </w:p>
        </w:tc>
      </w:tr>
      <w:tr w14:paraId="6032F9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A5CA4AA">
            <w:pPr>
              <w:pStyle w:val="180"/>
            </w:pPr>
          </w:p>
        </w:tc>
        <w:tc>
          <w:tcPr>
            <w:tcW w:w="1418" w:type="dxa"/>
            <w:shd w:val="clear" w:color="auto" w:fill="auto"/>
          </w:tcPr>
          <w:p w14:paraId="7F26056A">
            <w:pPr>
              <w:pStyle w:val="180"/>
            </w:pPr>
            <w:r>
              <w:rPr>
                <w:rFonts w:hint="eastAsia"/>
              </w:rPr>
              <w:t>中型滑坡</w:t>
            </w:r>
          </w:p>
        </w:tc>
        <w:tc>
          <w:tcPr>
            <w:tcW w:w="6225" w:type="dxa"/>
            <w:shd w:val="clear" w:color="auto" w:fill="auto"/>
          </w:tcPr>
          <w:p w14:paraId="70AAB6C8">
            <w:pPr>
              <w:pStyle w:val="180"/>
            </w:pPr>
            <w:r>
              <w:rPr>
                <w:rFonts w:hint="eastAsia"/>
              </w:rPr>
              <w:t>10×10</w:t>
            </w:r>
            <w:r>
              <w:rPr>
                <w:rFonts w:hint="eastAsia"/>
                <w:vertAlign w:val="superscript"/>
              </w:rPr>
              <w:t>4</w:t>
            </w:r>
            <w:r>
              <w:rPr>
                <w:rFonts w:hint="eastAsia"/>
              </w:rPr>
              <w:t xml:space="preserve"> m</w:t>
            </w:r>
            <w:r>
              <w:rPr>
                <w:rFonts w:hint="eastAsia"/>
                <w:vertAlign w:val="superscript"/>
              </w:rPr>
              <w:t>3</w:t>
            </w:r>
            <w:r>
              <w:rPr>
                <w:rFonts w:hint="eastAsia"/>
              </w:rPr>
              <w:t>～100×10</w:t>
            </w:r>
            <w:r>
              <w:rPr>
                <w:rFonts w:hint="eastAsia"/>
                <w:vertAlign w:val="superscript"/>
              </w:rPr>
              <w:t>4</w:t>
            </w:r>
            <w:r>
              <w:rPr>
                <w:rFonts w:hint="eastAsia"/>
              </w:rPr>
              <w:t xml:space="preserve"> m</w:t>
            </w:r>
            <w:r>
              <w:rPr>
                <w:rFonts w:hint="eastAsia"/>
                <w:vertAlign w:val="superscript"/>
              </w:rPr>
              <w:t>3</w:t>
            </w:r>
          </w:p>
        </w:tc>
      </w:tr>
      <w:tr w14:paraId="7EBF03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E99FA5E">
            <w:pPr>
              <w:pStyle w:val="180"/>
            </w:pPr>
          </w:p>
        </w:tc>
        <w:tc>
          <w:tcPr>
            <w:tcW w:w="1418" w:type="dxa"/>
            <w:shd w:val="clear" w:color="auto" w:fill="auto"/>
          </w:tcPr>
          <w:p w14:paraId="1426A658">
            <w:pPr>
              <w:pStyle w:val="180"/>
            </w:pPr>
            <w:r>
              <w:rPr>
                <w:rFonts w:hint="eastAsia"/>
              </w:rPr>
              <w:t>大型滑坡</w:t>
            </w:r>
          </w:p>
        </w:tc>
        <w:tc>
          <w:tcPr>
            <w:tcW w:w="6225" w:type="dxa"/>
            <w:shd w:val="clear" w:color="auto" w:fill="auto"/>
          </w:tcPr>
          <w:p w14:paraId="29C8284E">
            <w:pPr>
              <w:pStyle w:val="180"/>
            </w:pPr>
            <w:r>
              <w:rPr>
                <w:rFonts w:hint="eastAsia"/>
              </w:rPr>
              <w:t>100×10</w:t>
            </w:r>
            <w:r>
              <w:rPr>
                <w:rFonts w:hint="eastAsia"/>
                <w:vertAlign w:val="superscript"/>
              </w:rPr>
              <w:t>4</w:t>
            </w:r>
            <w:r>
              <w:rPr>
                <w:rFonts w:hint="eastAsia"/>
              </w:rPr>
              <w:t xml:space="preserve"> m</w:t>
            </w:r>
            <w:r>
              <w:rPr>
                <w:rFonts w:hint="eastAsia"/>
                <w:vertAlign w:val="superscript"/>
              </w:rPr>
              <w:t>3</w:t>
            </w:r>
            <w:r>
              <w:rPr>
                <w:rFonts w:hint="eastAsia"/>
              </w:rPr>
              <w:t>～1000×10</w:t>
            </w:r>
            <w:r>
              <w:rPr>
                <w:rFonts w:hint="eastAsia"/>
                <w:vertAlign w:val="superscript"/>
              </w:rPr>
              <w:t>4</w:t>
            </w:r>
            <w:r>
              <w:rPr>
                <w:rFonts w:hint="eastAsia"/>
              </w:rPr>
              <w:t xml:space="preserve"> m</w:t>
            </w:r>
            <w:r>
              <w:rPr>
                <w:rFonts w:hint="eastAsia"/>
                <w:vertAlign w:val="superscript"/>
              </w:rPr>
              <w:t>3</w:t>
            </w:r>
          </w:p>
        </w:tc>
      </w:tr>
      <w:tr w14:paraId="0B0806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010412BA">
            <w:pPr>
              <w:pStyle w:val="180"/>
            </w:pPr>
          </w:p>
        </w:tc>
        <w:tc>
          <w:tcPr>
            <w:tcW w:w="1418" w:type="dxa"/>
            <w:shd w:val="clear" w:color="auto" w:fill="auto"/>
          </w:tcPr>
          <w:p w14:paraId="144F0A2B">
            <w:pPr>
              <w:pStyle w:val="180"/>
            </w:pPr>
            <w:r>
              <w:rPr>
                <w:rFonts w:hint="eastAsia"/>
              </w:rPr>
              <w:t>特大型滑坡</w:t>
            </w:r>
          </w:p>
        </w:tc>
        <w:tc>
          <w:tcPr>
            <w:tcW w:w="6225" w:type="dxa"/>
            <w:shd w:val="clear" w:color="auto" w:fill="auto"/>
          </w:tcPr>
          <w:p w14:paraId="3745C7A0">
            <w:pPr>
              <w:pStyle w:val="180"/>
            </w:pPr>
            <w:r>
              <w:rPr>
                <w:rFonts w:hint="eastAsia"/>
              </w:rPr>
              <w:t>1000×10</w:t>
            </w:r>
            <w:r>
              <w:rPr>
                <w:rFonts w:hint="eastAsia"/>
                <w:vertAlign w:val="superscript"/>
              </w:rPr>
              <w:t>4</w:t>
            </w:r>
            <w:r>
              <w:rPr>
                <w:rFonts w:hint="eastAsia"/>
              </w:rPr>
              <w:t xml:space="preserve"> m</w:t>
            </w:r>
            <w:r>
              <w:rPr>
                <w:rFonts w:hint="eastAsia"/>
                <w:vertAlign w:val="superscript"/>
              </w:rPr>
              <w:t>3</w:t>
            </w:r>
            <w:r>
              <w:rPr>
                <w:rFonts w:hint="eastAsia"/>
              </w:rPr>
              <w:t>～10000×10</w:t>
            </w:r>
            <w:r>
              <w:rPr>
                <w:rFonts w:hint="eastAsia"/>
                <w:vertAlign w:val="superscript"/>
              </w:rPr>
              <w:t>4</w:t>
            </w:r>
            <w:r>
              <w:rPr>
                <w:rFonts w:hint="eastAsia"/>
              </w:rPr>
              <w:t xml:space="preserve"> m</w:t>
            </w:r>
            <w:r>
              <w:rPr>
                <w:rFonts w:hint="eastAsia"/>
                <w:vertAlign w:val="superscript"/>
              </w:rPr>
              <w:t>3</w:t>
            </w:r>
          </w:p>
        </w:tc>
      </w:tr>
      <w:tr w14:paraId="290CC2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DE875EC">
            <w:pPr>
              <w:pStyle w:val="180"/>
            </w:pPr>
          </w:p>
        </w:tc>
        <w:tc>
          <w:tcPr>
            <w:tcW w:w="1418" w:type="dxa"/>
            <w:shd w:val="clear" w:color="auto" w:fill="auto"/>
          </w:tcPr>
          <w:p w14:paraId="6A00C6A8">
            <w:pPr>
              <w:pStyle w:val="180"/>
            </w:pPr>
            <w:r>
              <w:rPr>
                <w:rFonts w:hint="eastAsia"/>
              </w:rPr>
              <w:t>巨型滑坡</w:t>
            </w:r>
          </w:p>
        </w:tc>
        <w:tc>
          <w:tcPr>
            <w:tcW w:w="6225" w:type="dxa"/>
            <w:shd w:val="clear" w:color="auto" w:fill="auto"/>
          </w:tcPr>
          <w:p w14:paraId="3AD218C3">
            <w:pPr>
              <w:pStyle w:val="180"/>
            </w:pPr>
            <w:r>
              <w:rPr>
                <w:rFonts w:hint="eastAsia"/>
              </w:rPr>
              <w:t>≥10000×10</w:t>
            </w:r>
            <w:r>
              <w:rPr>
                <w:rFonts w:hint="eastAsia"/>
                <w:vertAlign w:val="superscript"/>
              </w:rPr>
              <w:t>4</w:t>
            </w:r>
            <w:r>
              <w:rPr>
                <w:rFonts w:hint="eastAsia"/>
              </w:rPr>
              <w:t xml:space="preserve"> m</w:t>
            </w:r>
            <w:r>
              <w:rPr>
                <w:rFonts w:hint="eastAsia"/>
                <w:vertAlign w:val="superscript"/>
              </w:rPr>
              <w:t>3</w:t>
            </w:r>
          </w:p>
        </w:tc>
      </w:tr>
      <w:tr w14:paraId="07789B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69979497">
            <w:pPr>
              <w:pStyle w:val="180"/>
            </w:pPr>
            <w:r>
              <w:rPr>
                <w:rFonts w:hint="eastAsia"/>
              </w:rPr>
              <w:t>滑坡期次</w:t>
            </w:r>
          </w:p>
        </w:tc>
        <w:tc>
          <w:tcPr>
            <w:tcW w:w="1418" w:type="dxa"/>
            <w:shd w:val="clear" w:color="auto" w:fill="auto"/>
          </w:tcPr>
          <w:p w14:paraId="772C4D14">
            <w:pPr>
              <w:pStyle w:val="180"/>
            </w:pPr>
            <w:r>
              <w:rPr>
                <w:rFonts w:hint="eastAsia"/>
              </w:rPr>
              <w:t>复活型滑坡</w:t>
            </w:r>
          </w:p>
        </w:tc>
        <w:tc>
          <w:tcPr>
            <w:tcW w:w="6225" w:type="dxa"/>
            <w:shd w:val="clear" w:color="auto" w:fill="auto"/>
          </w:tcPr>
          <w:p w14:paraId="7995EB81">
            <w:pPr>
              <w:pStyle w:val="180"/>
            </w:pPr>
            <w:r>
              <w:rPr>
                <w:rFonts w:hint="eastAsia"/>
              </w:rPr>
              <w:t>古滑坡、老滑坡整体或局部再次活动</w:t>
            </w:r>
          </w:p>
        </w:tc>
      </w:tr>
      <w:tr w14:paraId="0CADE4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tcPr>
          <w:p w14:paraId="38FD6BD3">
            <w:pPr>
              <w:pStyle w:val="180"/>
            </w:pPr>
          </w:p>
        </w:tc>
        <w:tc>
          <w:tcPr>
            <w:tcW w:w="1418" w:type="dxa"/>
            <w:shd w:val="clear" w:color="auto" w:fill="auto"/>
          </w:tcPr>
          <w:p w14:paraId="6D1E5684">
            <w:pPr>
              <w:pStyle w:val="180"/>
            </w:pPr>
            <w:r>
              <w:rPr>
                <w:rFonts w:hint="eastAsia"/>
              </w:rPr>
              <w:t>新生型滑坡</w:t>
            </w:r>
          </w:p>
        </w:tc>
        <w:tc>
          <w:tcPr>
            <w:tcW w:w="6225" w:type="dxa"/>
            <w:shd w:val="clear" w:color="auto" w:fill="auto"/>
          </w:tcPr>
          <w:p w14:paraId="3FE9F020">
            <w:pPr>
              <w:pStyle w:val="180"/>
            </w:pPr>
            <w:r>
              <w:rPr>
                <w:rFonts w:hint="eastAsia"/>
              </w:rPr>
              <w:t>初次发生的滑坡</w:t>
            </w:r>
          </w:p>
        </w:tc>
      </w:tr>
    </w:tbl>
    <w:p w14:paraId="34222D1A">
      <w:pPr>
        <w:pStyle w:val="58"/>
        <w:ind w:firstLine="420"/>
      </w:pPr>
    </w:p>
    <w:p w14:paraId="69BC52A8">
      <w:pPr>
        <w:pStyle w:val="79"/>
        <w:spacing w:before="156" w:after="156"/>
      </w:pPr>
      <w:r>
        <w:rPr>
          <w:rFonts w:hint="eastAsia"/>
        </w:rPr>
        <w:t>崩塌（危岩体）分类表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1"/>
        <w:gridCol w:w="1701"/>
        <w:gridCol w:w="5942"/>
      </w:tblGrid>
      <w:tr w14:paraId="482A6F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tcPr>
          <w:p w14:paraId="4FCAAEEF">
            <w:pPr>
              <w:pStyle w:val="180"/>
            </w:pPr>
            <w:r>
              <w:rPr>
                <w:rFonts w:hint="eastAsia"/>
              </w:rPr>
              <w:t>划分依据</w:t>
            </w:r>
          </w:p>
        </w:tc>
        <w:tc>
          <w:tcPr>
            <w:tcW w:w="1701" w:type="dxa"/>
            <w:tcBorders>
              <w:top w:val="single" w:color="auto" w:sz="8" w:space="0"/>
              <w:bottom w:val="single" w:color="auto" w:sz="8" w:space="0"/>
            </w:tcBorders>
            <w:shd w:val="clear" w:color="auto" w:fill="auto"/>
          </w:tcPr>
          <w:p w14:paraId="2DA5D8DF">
            <w:pPr>
              <w:pStyle w:val="180"/>
            </w:pPr>
            <w:r>
              <w:rPr>
                <w:rFonts w:hint="eastAsia"/>
              </w:rPr>
              <w:t>类  型</w:t>
            </w:r>
          </w:p>
        </w:tc>
        <w:tc>
          <w:tcPr>
            <w:tcW w:w="5942" w:type="dxa"/>
            <w:tcBorders>
              <w:top w:val="single" w:color="auto" w:sz="8" w:space="0"/>
              <w:bottom w:val="single" w:color="auto" w:sz="8" w:space="0"/>
            </w:tcBorders>
            <w:shd w:val="clear" w:color="auto" w:fill="auto"/>
          </w:tcPr>
          <w:p w14:paraId="4E7DB8E1">
            <w:pPr>
              <w:pStyle w:val="180"/>
            </w:pPr>
            <w:r>
              <w:rPr>
                <w:rFonts w:hint="eastAsia"/>
              </w:rPr>
              <w:t>特征说明</w:t>
            </w:r>
          </w:p>
        </w:tc>
      </w:tr>
      <w:tr w14:paraId="177408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tcBorders>
              <w:top w:val="single" w:color="auto" w:sz="8" w:space="0"/>
            </w:tcBorders>
            <w:shd w:val="clear" w:color="auto" w:fill="auto"/>
            <w:vAlign w:val="center"/>
          </w:tcPr>
          <w:p w14:paraId="1F0CD9D6">
            <w:pPr>
              <w:pStyle w:val="180"/>
            </w:pPr>
            <w:r>
              <w:rPr>
                <w:rFonts w:hint="eastAsia"/>
              </w:rPr>
              <w:t>破坏方式</w:t>
            </w:r>
          </w:p>
        </w:tc>
        <w:tc>
          <w:tcPr>
            <w:tcW w:w="1701" w:type="dxa"/>
            <w:tcBorders>
              <w:top w:val="single" w:color="auto" w:sz="8" w:space="0"/>
            </w:tcBorders>
            <w:shd w:val="clear" w:color="auto" w:fill="auto"/>
          </w:tcPr>
          <w:p w14:paraId="4B0DA11C">
            <w:pPr>
              <w:pStyle w:val="180"/>
            </w:pPr>
            <w:r>
              <w:rPr>
                <w:rFonts w:hint="eastAsia"/>
              </w:rPr>
              <w:t>滑移式崩塌</w:t>
            </w:r>
          </w:p>
        </w:tc>
        <w:tc>
          <w:tcPr>
            <w:tcW w:w="5942" w:type="dxa"/>
            <w:tcBorders>
              <w:top w:val="single" w:color="auto" w:sz="8" w:space="0"/>
            </w:tcBorders>
            <w:shd w:val="clear" w:color="auto" w:fill="auto"/>
          </w:tcPr>
          <w:p w14:paraId="64EA9C1E">
            <w:pPr>
              <w:pStyle w:val="180"/>
            </w:pPr>
            <w:r>
              <w:rPr>
                <w:rFonts w:hint="eastAsia"/>
              </w:rPr>
              <w:t>危岩沿软弱面滑移，于陡崖（坡）处塌落。</w:t>
            </w:r>
          </w:p>
        </w:tc>
      </w:tr>
      <w:tr w14:paraId="0801A5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981D159">
            <w:pPr>
              <w:pStyle w:val="180"/>
            </w:pPr>
          </w:p>
        </w:tc>
        <w:tc>
          <w:tcPr>
            <w:tcW w:w="1701" w:type="dxa"/>
            <w:shd w:val="clear" w:color="auto" w:fill="auto"/>
          </w:tcPr>
          <w:p w14:paraId="6449245D">
            <w:pPr>
              <w:pStyle w:val="180"/>
            </w:pPr>
            <w:r>
              <w:rPr>
                <w:rFonts w:hint="eastAsia"/>
              </w:rPr>
              <w:t>倾倒式崩塌</w:t>
            </w:r>
          </w:p>
        </w:tc>
        <w:tc>
          <w:tcPr>
            <w:tcW w:w="5942" w:type="dxa"/>
            <w:shd w:val="clear" w:color="auto" w:fill="auto"/>
          </w:tcPr>
          <w:p w14:paraId="6504E63D">
            <w:pPr>
              <w:pStyle w:val="180"/>
            </w:pPr>
            <w:r>
              <w:rPr>
                <w:rFonts w:hint="eastAsia"/>
              </w:rPr>
              <w:t>危岩转动倾倒塌落。</w:t>
            </w:r>
          </w:p>
        </w:tc>
      </w:tr>
      <w:tr w14:paraId="3E4EB0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24740ED">
            <w:pPr>
              <w:pStyle w:val="180"/>
            </w:pPr>
          </w:p>
        </w:tc>
        <w:tc>
          <w:tcPr>
            <w:tcW w:w="1701" w:type="dxa"/>
            <w:shd w:val="clear" w:color="auto" w:fill="auto"/>
          </w:tcPr>
          <w:p w14:paraId="4292970B">
            <w:pPr>
              <w:pStyle w:val="180"/>
            </w:pPr>
            <w:r>
              <w:rPr>
                <w:rFonts w:hint="eastAsia"/>
              </w:rPr>
              <w:t>坠落式崩塌</w:t>
            </w:r>
          </w:p>
        </w:tc>
        <w:tc>
          <w:tcPr>
            <w:tcW w:w="5942" w:type="dxa"/>
            <w:shd w:val="clear" w:color="auto" w:fill="auto"/>
          </w:tcPr>
          <w:p w14:paraId="0CB95DC3">
            <w:pPr>
              <w:pStyle w:val="180"/>
            </w:pPr>
            <w:r>
              <w:rPr>
                <w:rFonts w:hint="eastAsia"/>
              </w:rPr>
              <w:t>受自重引起的剪切力作用发生的塌落。</w:t>
            </w:r>
          </w:p>
        </w:tc>
      </w:tr>
      <w:tr w14:paraId="5EB546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6BD0FEA1">
            <w:pPr>
              <w:pStyle w:val="180"/>
            </w:pPr>
            <w:r>
              <w:rPr>
                <w:rFonts w:hint="eastAsia"/>
              </w:rPr>
              <w:t>崩塌（危岩体）体积</w:t>
            </w:r>
          </w:p>
        </w:tc>
        <w:tc>
          <w:tcPr>
            <w:tcW w:w="1701" w:type="dxa"/>
            <w:shd w:val="clear" w:color="auto" w:fill="auto"/>
          </w:tcPr>
          <w:p w14:paraId="4BC569B0">
            <w:pPr>
              <w:pStyle w:val="180"/>
            </w:pPr>
            <w:r>
              <w:rPr>
                <w:rFonts w:hint="eastAsia"/>
              </w:rPr>
              <w:t>小型</w:t>
            </w:r>
          </w:p>
        </w:tc>
        <w:tc>
          <w:tcPr>
            <w:tcW w:w="5942" w:type="dxa"/>
            <w:shd w:val="clear" w:color="auto" w:fill="auto"/>
          </w:tcPr>
          <w:p w14:paraId="6F7460DF">
            <w:pPr>
              <w:pStyle w:val="180"/>
            </w:pPr>
            <w:r>
              <w:rPr>
                <w:rFonts w:hint="eastAsia"/>
              </w:rPr>
              <w:t>＜1×10</w:t>
            </w:r>
            <w:r>
              <w:rPr>
                <w:rFonts w:hint="eastAsia"/>
                <w:vertAlign w:val="superscript"/>
              </w:rPr>
              <w:t>4</w:t>
            </w:r>
            <w:r>
              <w:rPr>
                <w:rFonts w:hint="eastAsia"/>
              </w:rPr>
              <w:t xml:space="preserve"> m</w:t>
            </w:r>
            <w:r>
              <w:rPr>
                <w:rFonts w:hint="eastAsia"/>
                <w:vertAlign w:val="superscript"/>
              </w:rPr>
              <w:t>3</w:t>
            </w:r>
          </w:p>
        </w:tc>
      </w:tr>
      <w:tr w14:paraId="65C188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B587735">
            <w:pPr>
              <w:pStyle w:val="180"/>
            </w:pPr>
          </w:p>
        </w:tc>
        <w:tc>
          <w:tcPr>
            <w:tcW w:w="1701" w:type="dxa"/>
            <w:shd w:val="clear" w:color="auto" w:fill="auto"/>
          </w:tcPr>
          <w:p w14:paraId="3BE212E8">
            <w:pPr>
              <w:pStyle w:val="180"/>
            </w:pPr>
            <w:r>
              <w:rPr>
                <w:rFonts w:hint="eastAsia"/>
              </w:rPr>
              <w:t>中型</w:t>
            </w:r>
          </w:p>
        </w:tc>
        <w:tc>
          <w:tcPr>
            <w:tcW w:w="5942" w:type="dxa"/>
            <w:shd w:val="clear" w:color="auto" w:fill="auto"/>
          </w:tcPr>
          <w:p w14:paraId="6AFC226C">
            <w:pPr>
              <w:pStyle w:val="180"/>
            </w:pPr>
            <w:r>
              <w:rPr>
                <w:rFonts w:hint="eastAsia"/>
              </w:rPr>
              <w:t>10×10</w:t>
            </w:r>
            <w:r>
              <w:rPr>
                <w:rFonts w:hint="eastAsia"/>
                <w:vertAlign w:val="superscript"/>
              </w:rPr>
              <w:t>4</w:t>
            </w:r>
            <w:r>
              <w:rPr>
                <w:rFonts w:hint="eastAsia"/>
              </w:rPr>
              <w:t xml:space="preserve"> m</w:t>
            </w:r>
            <w:r>
              <w:rPr>
                <w:rFonts w:hint="eastAsia"/>
                <w:vertAlign w:val="superscript"/>
              </w:rPr>
              <w:t>3</w:t>
            </w:r>
            <w:r>
              <w:rPr>
                <w:rFonts w:hint="eastAsia"/>
              </w:rPr>
              <w:t>～1×10</w:t>
            </w:r>
            <w:r>
              <w:rPr>
                <w:rFonts w:hint="eastAsia"/>
                <w:vertAlign w:val="superscript"/>
              </w:rPr>
              <w:t>4</w:t>
            </w:r>
            <w:r>
              <w:rPr>
                <w:rFonts w:hint="eastAsia"/>
              </w:rPr>
              <w:t xml:space="preserve"> m</w:t>
            </w:r>
            <w:r>
              <w:rPr>
                <w:rFonts w:hint="eastAsia"/>
                <w:vertAlign w:val="superscript"/>
              </w:rPr>
              <w:t>3</w:t>
            </w:r>
          </w:p>
        </w:tc>
      </w:tr>
      <w:tr w14:paraId="172454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0CE038C3">
            <w:pPr>
              <w:pStyle w:val="180"/>
            </w:pPr>
          </w:p>
        </w:tc>
        <w:tc>
          <w:tcPr>
            <w:tcW w:w="1701" w:type="dxa"/>
            <w:shd w:val="clear" w:color="auto" w:fill="auto"/>
          </w:tcPr>
          <w:p w14:paraId="10EE35B5">
            <w:pPr>
              <w:pStyle w:val="180"/>
            </w:pPr>
            <w:r>
              <w:rPr>
                <w:rFonts w:hint="eastAsia"/>
              </w:rPr>
              <w:t>大型</w:t>
            </w:r>
          </w:p>
        </w:tc>
        <w:tc>
          <w:tcPr>
            <w:tcW w:w="5942" w:type="dxa"/>
            <w:shd w:val="clear" w:color="auto" w:fill="auto"/>
          </w:tcPr>
          <w:p w14:paraId="1D8F2252">
            <w:pPr>
              <w:pStyle w:val="180"/>
            </w:pPr>
            <w:r>
              <w:rPr>
                <w:rFonts w:hint="eastAsia"/>
              </w:rPr>
              <w:t>100×10</w:t>
            </w:r>
            <w:r>
              <w:rPr>
                <w:rFonts w:hint="eastAsia"/>
                <w:vertAlign w:val="superscript"/>
              </w:rPr>
              <w:t>4</w:t>
            </w:r>
            <w:r>
              <w:rPr>
                <w:rFonts w:hint="eastAsia"/>
              </w:rPr>
              <w:t xml:space="preserve"> m</w:t>
            </w:r>
            <w:r>
              <w:rPr>
                <w:rFonts w:hint="eastAsia"/>
                <w:vertAlign w:val="superscript"/>
              </w:rPr>
              <w:t>3</w:t>
            </w:r>
            <w:r>
              <w:rPr>
                <w:rFonts w:hint="eastAsia"/>
              </w:rPr>
              <w:t>～10×10</w:t>
            </w:r>
            <w:r>
              <w:rPr>
                <w:rFonts w:hint="eastAsia"/>
                <w:vertAlign w:val="superscript"/>
              </w:rPr>
              <w:t>4</w:t>
            </w:r>
            <w:r>
              <w:rPr>
                <w:rFonts w:hint="eastAsia"/>
              </w:rPr>
              <w:t xml:space="preserve"> m</w:t>
            </w:r>
            <w:r>
              <w:rPr>
                <w:rFonts w:hint="eastAsia"/>
                <w:vertAlign w:val="superscript"/>
              </w:rPr>
              <w:t>3</w:t>
            </w:r>
          </w:p>
        </w:tc>
      </w:tr>
      <w:tr w14:paraId="6F1D86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60495E3">
            <w:pPr>
              <w:pStyle w:val="180"/>
            </w:pPr>
          </w:p>
        </w:tc>
        <w:tc>
          <w:tcPr>
            <w:tcW w:w="1701" w:type="dxa"/>
            <w:shd w:val="clear" w:color="auto" w:fill="auto"/>
          </w:tcPr>
          <w:p w14:paraId="58F71DB9">
            <w:pPr>
              <w:pStyle w:val="180"/>
            </w:pPr>
            <w:r>
              <w:rPr>
                <w:rFonts w:hint="eastAsia"/>
              </w:rPr>
              <w:t>特大型</w:t>
            </w:r>
          </w:p>
        </w:tc>
        <w:tc>
          <w:tcPr>
            <w:tcW w:w="5942" w:type="dxa"/>
            <w:shd w:val="clear" w:color="auto" w:fill="auto"/>
          </w:tcPr>
          <w:p w14:paraId="1B3C3081">
            <w:pPr>
              <w:pStyle w:val="180"/>
            </w:pPr>
            <w:r>
              <w:rPr>
                <w:rFonts w:hint="eastAsia"/>
              </w:rPr>
              <w:t>1000×10</w:t>
            </w:r>
            <w:r>
              <w:rPr>
                <w:rFonts w:hint="eastAsia"/>
                <w:vertAlign w:val="superscript"/>
              </w:rPr>
              <w:t>4</w:t>
            </w:r>
            <w:r>
              <w:rPr>
                <w:rFonts w:hint="eastAsia"/>
              </w:rPr>
              <w:t xml:space="preserve"> m</w:t>
            </w:r>
            <w:r>
              <w:rPr>
                <w:rFonts w:hint="eastAsia"/>
                <w:vertAlign w:val="superscript"/>
              </w:rPr>
              <w:t>3</w:t>
            </w:r>
            <w:r>
              <w:rPr>
                <w:rFonts w:hint="eastAsia"/>
              </w:rPr>
              <w:t>～100×10</w:t>
            </w:r>
            <w:r>
              <w:rPr>
                <w:rFonts w:hint="eastAsia"/>
                <w:vertAlign w:val="superscript"/>
              </w:rPr>
              <w:t>4</w:t>
            </w:r>
            <w:r>
              <w:rPr>
                <w:rFonts w:hint="eastAsia"/>
              </w:rPr>
              <w:t xml:space="preserve"> m</w:t>
            </w:r>
            <w:r>
              <w:rPr>
                <w:rFonts w:hint="eastAsia"/>
                <w:vertAlign w:val="superscript"/>
              </w:rPr>
              <w:t>3</w:t>
            </w:r>
          </w:p>
        </w:tc>
      </w:tr>
      <w:tr w14:paraId="6A5A94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2071F0D3">
            <w:pPr>
              <w:pStyle w:val="180"/>
            </w:pPr>
          </w:p>
        </w:tc>
        <w:tc>
          <w:tcPr>
            <w:tcW w:w="1701" w:type="dxa"/>
            <w:shd w:val="clear" w:color="auto" w:fill="auto"/>
          </w:tcPr>
          <w:p w14:paraId="4E309D07">
            <w:pPr>
              <w:pStyle w:val="180"/>
            </w:pPr>
            <w:r>
              <w:rPr>
                <w:rFonts w:hint="eastAsia"/>
              </w:rPr>
              <w:t>巨型</w:t>
            </w:r>
          </w:p>
        </w:tc>
        <w:tc>
          <w:tcPr>
            <w:tcW w:w="5942" w:type="dxa"/>
            <w:shd w:val="clear" w:color="auto" w:fill="auto"/>
          </w:tcPr>
          <w:p w14:paraId="3A04EF3C">
            <w:pPr>
              <w:pStyle w:val="180"/>
            </w:pPr>
            <w:r>
              <w:rPr>
                <w:rFonts w:hint="eastAsia"/>
              </w:rPr>
              <w:t>≥1000×10</w:t>
            </w:r>
            <w:r>
              <w:rPr>
                <w:rFonts w:hint="eastAsia"/>
                <w:vertAlign w:val="superscript"/>
              </w:rPr>
              <w:t>4</w:t>
            </w:r>
            <w:r>
              <w:rPr>
                <w:rFonts w:hint="eastAsia"/>
              </w:rPr>
              <w:t xml:space="preserve"> m</w:t>
            </w:r>
            <w:r>
              <w:rPr>
                <w:rFonts w:hint="eastAsia"/>
                <w:vertAlign w:val="superscript"/>
              </w:rPr>
              <w:t>3</w:t>
            </w:r>
          </w:p>
        </w:tc>
      </w:tr>
      <w:tr w14:paraId="666E73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0A5CF7F4">
            <w:pPr>
              <w:pStyle w:val="180"/>
            </w:pPr>
            <w:r>
              <w:rPr>
                <w:rFonts w:hint="eastAsia"/>
              </w:rPr>
              <w:t>危岩体顶端距陡崖（坡）脚高度</w:t>
            </w:r>
          </w:p>
        </w:tc>
        <w:tc>
          <w:tcPr>
            <w:tcW w:w="1701" w:type="dxa"/>
            <w:shd w:val="clear" w:color="auto" w:fill="auto"/>
          </w:tcPr>
          <w:p w14:paraId="2BA110F3">
            <w:pPr>
              <w:pStyle w:val="180"/>
            </w:pPr>
            <w:r>
              <w:rPr>
                <w:rFonts w:hint="eastAsia"/>
              </w:rPr>
              <w:t>低位危岩</w:t>
            </w:r>
          </w:p>
        </w:tc>
        <w:tc>
          <w:tcPr>
            <w:tcW w:w="5942" w:type="dxa"/>
            <w:shd w:val="clear" w:color="auto" w:fill="auto"/>
          </w:tcPr>
          <w:p w14:paraId="5D1414CA">
            <w:pPr>
              <w:pStyle w:val="180"/>
            </w:pPr>
            <w:r>
              <w:rPr>
                <w:rFonts w:hint="eastAsia"/>
              </w:rPr>
              <w:t>＜15m</w:t>
            </w:r>
          </w:p>
        </w:tc>
      </w:tr>
      <w:tr w14:paraId="0A65CC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8CC6544">
            <w:pPr>
              <w:pStyle w:val="180"/>
            </w:pPr>
          </w:p>
        </w:tc>
        <w:tc>
          <w:tcPr>
            <w:tcW w:w="1701" w:type="dxa"/>
            <w:shd w:val="clear" w:color="auto" w:fill="auto"/>
          </w:tcPr>
          <w:p w14:paraId="0455CD01">
            <w:pPr>
              <w:pStyle w:val="180"/>
            </w:pPr>
            <w:r>
              <w:rPr>
                <w:rFonts w:hint="eastAsia"/>
              </w:rPr>
              <w:t>中位危岩</w:t>
            </w:r>
          </w:p>
        </w:tc>
        <w:tc>
          <w:tcPr>
            <w:tcW w:w="5942" w:type="dxa"/>
            <w:shd w:val="clear" w:color="auto" w:fill="auto"/>
          </w:tcPr>
          <w:p w14:paraId="6AA65708">
            <w:pPr>
              <w:pStyle w:val="180"/>
            </w:pPr>
            <w:r>
              <w:rPr>
                <w:rFonts w:hint="eastAsia"/>
              </w:rPr>
              <w:t>15m～50m</w:t>
            </w:r>
          </w:p>
        </w:tc>
      </w:tr>
      <w:tr w14:paraId="3F90F8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D9E0B2D">
            <w:pPr>
              <w:pStyle w:val="180"/>
            </w:pPr>
          </w:p>
        </w:tc>
        <w:tc>
          <w:tcPr>
            <w:tcW w:w="1701" w:type="dxa"/>
            <w:shd w:val="clear" w:color="auto" w:fill="auto"/>
          </w:tcPr>
          <w:p w14:paraId="531F758B">
            <w:pPr>
              <w:pStyle w:val="180"/>
            </w:pPr>
            <w:r>
              <w:rPr>
                <w:rFonts w:hint="eastAsia"/>
              </w:rPr>
              <w:t>高位危岩</w:t>
            </w:r>
          </w:p>
        </w:tc>
        <w:tc>
          <w:tcPr>
            <w:tcW w:w="5942" w:type="dxa"/>
            <w:shd w:val="clear" w:color="auto" w:fill="auto"/>
          </w:tcPr>
          <w:p w14:paraId="78ED382C">
            <w:pPr>
              <w:pStyle w:val="180"/>
            </w:pPr>
            <w:r>
              <w:rPr>
                <w:rFonts w:hint="eastAsia"/>
              </w:rPr>
              <w:t>50m～100m</w:t>
            </w:r>
          </w:p>
        </w:tc>
      </w:tr>
      <w:tr w14:paraId="664131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6F821598">
            <w:pPr>
              <w:pStyle w:val="180"/>
            </w:pPr>
          </w:p>
        </w:tc>
        <w:tc>
          <w:tcPr>
            <w:tcW w:w="1701" w:type="dxa"/>
            <w:shd w:val="clear" w:color="auto" w:fill="auto"/>
          </w:tcPr>
          <w:p w14:paraId="6C836C64">
            <w:pPr>
              <w:pStyle w:val="180"/>
            </w:pPr>
            <w:r>
              <w:rPr>
                <w:rFonts w:hint="eastAsia"/>
              </w:rPr>
              <w:t>特高位危岩</w:t>
            </w:r>
          </w:p>
        </w:tc>
        <w:tc>
          <w:tcPr>
            <w:tcW w:w="5942" w:type="dxa"/>
            <w:shd w:val="clear" w:color="auto" w:fill="auto"/>
          </w:tcPr>
          <w:p w14:paraId="08E2220E">
            <w:pPr>
              <w:pStyle w:val="180"/>
            </w:pPr>
            <w:r>
              <w:rPr>
                <w:rFonts w:hint="eastAsia"/>
              </w:rPr>
              <w:t>≥100 m</w:t>
            </w:r>
          </w:p>
        </w:tc>
      </w:tr>
    </w:tbl>
    <w:p w14:paraId="0F6C6A9B">
      <w:pPr>
        <w:pStyle w:val="58"/>
        <w:ind w:firstLine="420"/>
      </w:pPr>
    </w:p>
    <w:p w14:paraId="1C50A6DB">
      <w:pPr>
        <w:pStyle w:val="79"/>
        <w:spacing w:before="156" w:after="156"/>
      </w:pPr>
      <w:r>
        <w:rPr>
          <w:rFonts w:hint="eastAsia"/>
        </w:rPr>
        <w:t>泥石流分类表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1"/>
        <w:gridCol w:w="1701"/>
        <w:gridCol w:w="5942"/>
      </w:tblGrid>
      <w:tr w14:paraId="46DAC5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vAlign w:val="center"/>
          </w:tcPr>
          <w:p w14:paraId="156938A5">
            <w:pPr>
              <w:pStyle w:val="180"/>
            </w:pPr>
            <w:r>
              <w:rPr>
                <w:rFonts w:hint="eastAsia"/>
              </w:rPr>
              <w:t>划分依据</w:t>
            </w:r>
          </w:p>
        </w:tc>
        <w:tc>
          <w:tcPr>
            <w:tcW w:w="1701" w:type="dxa"/>
            <w:tcBorders>
              <w:top w:val="single" w:color="auto" w:sz="8" w:space="0"/>
              <w:bottom w:val="single" w:color="auto" w:sz="8" w:space="0"/>
            </w:tcBorders>
            <w:shd w:val="clear" w:color="auto" w:fill="auto"/>
          </w:tcPr>
          <w:p w14:paraId="00AEBDDB">
            <w:pPr>
              <w:pStyle w:val="180"/>
            </w:pPr>
            <w:r>
              <w:rPr>
                <w:rFonts w:hint="eastAsia"/>
              </w:rPr>
              <w:t>名称类别</w:t>
            </w:r>
          </w:p>
        </w:tc>
        <w:tc>
          <w:tcPr>
            <w:tcW w:w="5942" w:type="dxa"/>
            <w:tcBorders>
              <w:top w:val="single" w:color="auto" w:sz="8" w:space="0"/>
              <w:bottom w:val="single" w:color="auto" w:sz="8" w:space="0"/>
            </w:tcBorders>
            <w:shd w:val="clear" w:color="auto" w:fill="auto"/>
          </w:tcPr>
          <w:p w14:paraId="4AB6189B">
            <w:pPr>
              <w:pStyle w:val="180"/>
            </w:pPr>
            <w:r>
              <w:rPr>
                <w:rFonts w:hint="eastAsia"/>
              </w:rPr>
              <w:t>特征说明</w:t>
            </w:r>
          </w:p>
        </w:tc>
      </w:tr>
      <w:tr w14:paraId="7B4E5F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tcBorders>
              <w:top w:val="single" w:color="auto" w:sz="8" w:space="0"/>
            </w:tcBorders>
            <w:shd w:val="clear" w:color="auto" w:fill="auto"/>
            <w:vAlign w:val="center"/>
          </w:tcPr>
          <w:p w14:paraId="51E815AD">
            <w:pPr>
              <w:pStyle w:val="180"/>
            </w:pPr>
            <w:r>
              <w:rPr>
                <w:rFonts w:hint="eastAsia"/>
              </w:rPr>
              <w:t>水源类型</w:t>
            </w:r>
          </w:p>
        </w:tc>
        <w:tc>
          <w:tcPr>
            <w:tcW w:w="1701" w:type="dxa"/>
            <w:tcBorders>
              <w:top w:val="single" w:color="auto" w:sz="8" w:space="0"/>
            </w:tcBorders>
            <w:shd w:val="clear" w:color="auto" w:fill="auto"/>
            <w:vAlign w:val="center"/>
          </w:tcPr>
          <w:p w14:paraId="4F945BFF">
            <w:pPr>
              <w:pStyle w:val="180"/>
            </w:pPr>
            <w:r>
              <w:rPr>
                <w:rFonts w:hint="eastAsia"/>
              </w:rPr>
              <w:t>暴雨型泥石流</w:t>
            </w:r>
          </w:p>
        </w:tc>
        <w:tc>
          <w:tcPr>
            <w:tcW w:w="5942" w:type="dxa"/>
            <w:tcBorders>
              <w:top w:val="single" w:color="auto" w:sz="8" w:space="0"/>
            </w:tcBorders>
            <w:shd w:val="clear" w:color="auto" w:fill="auto"/>
            <w:vAlign w:val="center"/>
          </w:tcPr>
          <w:p w14:paraId="099A30CA">
            <w:pPr>
              <w:pStyle w:val="180"/>
            </w:pPr>
            <w:r>
              <w:rPr>
                <w:rFonts w:hint="eastAsia"/>
              </w:rPr>
              <w:t>由暴雨因素激发形成的泥石流</w:t>
            </w:r>
          </w:p>
        </w:tc>
      </w:tr>
      <w:tr w14:paraId="235B10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08A3E269">
            <w:pPr>
              <w:pStyle w:val="180"/>
            </w:pPr>
          </w:p>
        </w:tc>
        <w:tc>
          <w:tcPr>
            <w:tcW w:w="1701" w:type="dxa"/>
            <w:shd w:val="clear" w:color="auto" w:fill="auto"/>
            <w:vAlign w:val="center"/>
          </w:tcPr>
          <w:p w14:paraId="123187D3">
            <w:pPr>
              <w:pStyle w:val="180"/>
            </w:pPr>
            <w:r>
              <w:rPr>
                <w:rFonts w:hint="eastAsia"/>
              </w:rPr>
              <w:t>溃决型泥石流</w:t>
            </w:r>
          </w:p>
        </w:tc>
        <w:tc>
          <w:tcPr>
            <w:tcW w:w="5942" w:type="dxa"/>
            <w:shd w:val="clear" w:color="auto" w:fill="auto"/>
            <w:vAlign w:val="center"/>
          </w:tcPr>
          <w:p w14:paraId="11346D8A">
            <w:pPr>
              <w:pStyle w:val="180"/>
            </w:pPr>
            <w:r>
              <w:rPr>
                <w:rFonts w:hint="eastAsia"/>
              </w:rPr>
              <w:t>由水库、湖泊等溃决因素激发形成的泥石流</w:t>
            </w:r>
          </w:p>
        </w:tc>
      </w:tr>
      <w:tr w14:paraId="5C2684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778E9ED6">
            <w:pPr>
              <w:pStyle w:val="180"/>
            </w:pPr>
          </w:p>
        </w:tc>
        <w:tc>
          <w:tcPr>
            <w:tcW w:w="1701" w:type="dxa"/>
            <w:shd w:val="clear" w:color="auto" w:fill="auto"/>
            <w:vAlign w:val="center"/>
          </w:tcPr>
          <w:p w14:paraId="357071A7">
            <w:pPr>
              <w:pStyle w:val="180"/>
            </w:pPr>
            <w:r>
              <w:rPr>
                <w:rFonts w:hint="eastAsia"/>
              </w:rPr>
              <w:t>冰雪融水型泥石流</w:t>
            </w:r>
          </w:p>
        </w:tc>
        <w:tc>
          <w:tcPr>
            <w:tcW w:w="5942" w:type="dxa"/>
            <w:shd w:val="clear" w:color="auto" w:fill="auto"/>
            <w:vAlign w:val="center"/>
          </w:tcPr>
          <w:p w14:paraId="35C4DB86">
            <w:pPr>
              <w:pStyle w:val="180"/>
            </w:pPr>
            <w:r>
              <w:rPr>
                <w:rFonts w:hint="eastAsia"/>
              </w:rPr>
              <w:t>由冰、雪消融水流激发形成的泥石流</w:t>
            </w:r>
          </w:p>
        </w:tc>
      </w:tr>
      <w:tr w14:paraId="539494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CC6BC2F">
            <w:pPr>
              <w:pStyle w:val="180"/>
            </w:pPr>
          </w:p>
        </w:tc>
        <w:tc>
          <w:tcPr>
            <w:tcW w:w="1701" w:type="dxa"/>
            <w:shd w:val="clear" w:color="auto" w:fill="auto"/>
            <w:vAlign w:val="center"/>
          </w:tcPr>
          <w:p w14:paraId="7F2E3E79">
            <w:pPr>
              <w:pStyle w:val="180"/>
            </w:pPr>
            <w:r>
              <w:rPr>
                <w:rFonts w:hint="eastAsia"/>
              </w:rPr>
              <w:t>泉水型泥石流</w:t>
            </w:r>
          </w:p>
        </w:tc>
        <w:tc>
          <w:tcPr>
            <w:tcW w:w="5942" w:type="dxa"/>
            <w:shd w:val="clear" w:color="auto" w:fill="auto"/>
            <w:vAlign w:val="center"/>
          </w:tcPr>
          <w:p w14:paraId="2C1F9B46">
            <w:pPr>
              <w:pStyle w:val="180"/>
            </w:pPr>
            <w:r>
              <w:rPr>
                <w:rFonts w:hint="eastAsia"/>
              </w:rPr>
              <w:t>由泉水因素激发形成的泥石流</w:t>
            </w:r>
          </w:p>
        </w:tc>
      </w:tr>
      <w:tr w14:paraId="0CF2A2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062094BF">
            <w:pPr>
              <w:pStyle w:val="180"/>
            </w:pPr>
            <w:r>
              <w:rPr>
                <w:rFonts w:hint="eastAsia"/>
              </w:rPr>
              <w:t>流域形态</w:t>
            </w:r>
          </w:p>
        </w:tc>
        <w:tc>
          <w:tcPr>
            <w:tcW w:w="1701" w:type="dxa"/>
            <w:shd w:val="clear" w:color="auto" w:fill="auto"/>
            <w:vAlign w:val="center"/>
          </w:tcPr>
          <w:p w14:paraId="2AF7136B">
            <w:pPr>
              <w:pStyle w:val="180"/>
            </w:pPr>
            <w:r>
              <w:rPr>
                <w:rFonts w:hint="eastAsia"/>
              </w:rPr>
              <w:t>沟谷型泥石流</w:t>
            </w:r>
          </w:p>
        </w:tc>
        <w:tc>
          <w:tcPr>
            <w:tcW w:w="5942" w:type="dxa"/>
            <w:shd w:val="clear" w:color="auto" w:fill="auto"/>
            <w:vAlign w:val="center"/>
          </w:tcPr>
          <w:p w14:paraId="63B0B3E7">
            <w:pPr>
              <w:pStyle w:val="180"/>
            </w:pPr>
            <w:r>
              <w:rPr>
                <w:rFonts w:hint="eastAsia"/>
              </w:rPr>
              <w:t>流域呈扇形或狭长条形，沟谷地形，沟长坡缓，规模大，一般能划分出泥石流的形成区、流通区和堆积区</w:t>
            </w:r>
          </w:p>
        </w:tc>
      </w:tr>
      <w:tr w14:paraId="7F9E4C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34DEC97">
            <w:pPr>
              <w:pStyle w:val="180"/>
            </w:pPr>
          </w:p>
        </w:tc>
        <w:tc>
          <w:tcPr>
            <w:tcW w:w="1701" w:type="dxa"/>
            <w:shd w:val="clear" w:color="auto" w:fill="auto"/>
            <w:vAlign w:val="center"/>
          </w:tcPr>
          <w:p w14:paraId="6F7A3126">
            <w:pPr>
              <w:pStyle w:val="180"/>
            </w:pPr>
            <w:r>
              <w:rPr>
                <w:rFonts w:hint="eastAsia"/>
              </w:rPr>
              <w:t>山坡型泥石流</w:t>
            </w:r>
          </w:p>
        </w:tc>
        <w:tc>
          <w:tcPr>
            <w:tcW w:w="5942" w:type="dxa"/>
            <w:shd w:val="clear" w:color="auto" w:fill="auto"/>
            <w:vAlign w:val="center"/>
          </w:tcPr>
          <w:p w14:paraId="3DBC65E8">
            <w:pPr>
              <w:pStyle w:val="180"/>
            </w:pPr>
            <w:r>
              <w:rPr>
                <w:rFonts w:hint="eastAsia"/>
              </w:rPr>
              <w:t>流域呈斗状，无明显流通区，形成区与堆积区直接相连，沟短坡陡，规模小</w:t>
            </w:r>
          </w:p>
        </w:tc>
      </w:tr>
      <w:tr w14:paraId="663D27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76F22E12">
            <w:pPr>
              <w:pStyle w:val="180"/>
            </w:pPr>
            <w:r>
              <w:rPr>
                <w:rFonts w:hint="eastAsia"/>
              </w:rPr>
              <w:t>物质组成</w:t>
            </w:r>
          </w:p>
        </w:tc>
        <w:tc>
          <w:tcPr>
            <w:tcW w:w="1701" w:type="dxa"/>
            <w:shd w:val="clear" w:color="auto" w:fill="auto"/>
            <w:vAlign w:val="center"/>
          </w:tcPr>
          <w:p w14:paraId="43DE52DD">
            <w:pPr>
              <w:pStyle w:val="180"/>
            </w:pPr>
            <w:r>
              <w:rPr>
                <w:rFonts w:hint="eastAsia"/>
              </w:rPr>
              <w:t>泥流</w:t>
            </w:r>
          </w:p>
        </w:tc>
        <w:tc>
          <w:tcPr>
            <w:tcW w:w="5942" w:type="dxa"/>
            <w:shd w:val="clear" w:color="auto" w:fill="auto"/>
            <w:vAlign w:val="center"/>
          </w:tcPr>
          <w:p w14:paraId="431DB889">
            <w:pPr>
              <w:pStyle w:val="180"/>
            </w:pPr>
            <w:r>
              <w:rPr>
                <w:rFonts w:hint="eastAsia"/>
              </w:rPr>
              <w:t>由细粒径土组成，偶夹砂砾，粘度大，颗粒均匀</w:t>
            </w:r>
          </w:p>
        </w:tc>
      </w:tr>
      <w:tr w14:paraId="3916B8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32EA5FE">
            <w:pPr>
              <w:pStyle w:val="180"/>
            </w:pPr>
          </w:p>
        </w:tc>
        <w:tc>
          <w:tcPr>
            <w:tcW w:w="1701" w:type="dxa"/>
            <w:shd w:val="clear" w:color="auto" w:fill="auto"/>
            <w:vAlign w:val="center"/>
          </w:tcPr>
          <w:p w14:paraId="3FA2EC45">
            <w:pPr>
              <w:pStyle w:val="180"/>
            </w:pPr>
            <w:r>
              <w:rPr>
                <w:rFonts w:hint="eastAsia"/>
              </w:rPr>
              <w:t>泥石流</w:t>
            </w:r>
          </w:p>
        </w:tc>
        <w:tc>
          <w:tcPr>
            <w:tcW w:w="5942" w:type="dxa"/>
            <w:shd w:val="clear" w:color="auto" w:fill="auto"/>
            <w:vAlign w:val="center"/>
          </w:tcPr>
          <w:p w14:paraId="684EFB97">
            <w:pPr>
              <w:pStyle w:val="180"/>
            </w:pPr>
            <w:r>
              <w:rPr>
                <w:rFonts w:hint="eastAsia"/>
              </w:rPr>
              <w:t>由土、砂、石混杂组成，颗粒差异较大</w:t>
            </w:r>
          </w:p>
        </w:tc>
      </w:tr>
      <w:tr w14:paraId="4062E1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37B4E99A">
            <w:pPr>
              <w:pStyle w:val="180"/>
            </w:pPr>
          </w:p>
        </w:tc>
        <w:tc>
          <w:tcPr>
            <w:tcW w:w="1701" w:type="dxa"/>
            <w:shd w:val="clear" w:color="auto" w:fill="auto"/>
            <w:vAlign w:val="center"/>
          </w:tcPr>
          <w:p w14:paraId="327283E0">
            <w:pPr>
              <w:pStyle w:val="180"/>
            </w:pPr>
            <w:r>
              <w:rPr>
                <w:rFonts w:hint="eastAsia"/>
              </w:rPr>
              <w:t>水石流</w:t>
            </w:r>
          </w:p>
        </w:tc>
        <w:tc>
          <w:tcPr>
            <w:tcW w:w="5942" w:type="dxa"/>
            <w:shd w:val="clear" w:color="auto" w:fill="auto"/>
            <w:vAlign w:val="center"/>
          </w:tcPr>
          <w:p w14:paraId="6E39F46D">
            <w:pPr>
              <w:pStyle w:val="180"/>
            </w:pPr>
            <w:r>
              <w:rPr>
                <w:rFonts w:hint="eastAsia"/>
              </w:rPr>
              <w:t>由砂、石组成，粒径大，堆积物分选性强</w:t>
            </w:r>
          </w:p>
        </w:tc>
      </w:tr>
      <w:tr w14:paraId="782AEF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2C6FC954">
            <w:pPr>
              <w:pStyle w:val="180"/>
            </w:pPr>
            <w:r>
              <w:rPr>
                <w:rFonts w:hint="eastAsia"/>
              </w:rPr>
              <w:t>固体物质提供方式</w:t>
            </w:r>
          </w:p>
        </w:tc>
        <w:tc>
          <w:tcPr>
            <w:tcW w:w="1701" w:type="dxa"/>
            <w:shd w:val="clear" w:color="auto" w:fill="auto"/>
            <w:vAlign w:val="center"/>
          </w:tcPr>
          <w:p w14:paraId="578B591B">
            <w:pPr>
              <w:pStyle w:val="180"/>
            </w:pPr>
            <w:r>
              <w:rPr>
                <w:rFonts w:hint="eastAsia"/>
              </w:rPr>
              <w:t>滑坡泥石流</w:t>
            </w:r>
          </w:p>
        </w:tc>
        <w:tc>
          <w:tcPr>
            <w:tcW w:w="5942" w:type="dxa"/>
            <w:shd w:val="clear" w:color="auto" w:fill="auto"/>
            <w:vAlign w:val="center"/>
          </w:tcPr>
          <w:p w14:paraId="17E6467D">
            <w:pPr>
              <w:pStyle w:val="180"/>
            </w:pPr>
            <w:r>
              <w:rPr>
                <w:rFonts w:hint="eastAsia"/>
              </w:rPr>
              <w:t>固体物质主要由滑坡堆积物组成</w:t>
            </w:r>
          </w:p>
        </w:tc>
      </w:tr>
      <w:tr w14:paraId="30C9DD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223481F0">
            <w:pPr>
              <w:pStyle w:val="180"/>
            </w:pPr>
          </w:p>
        </w:tc>
        <w:tc>
          <w:tcPr>
            <w:tcW w:w="1701" w:type="dxa"/>
            <w:shd w:val="clear" w:color="auto" w:fill="auto"/>
            <w:vAlign w:val="center"/>
          </w:tcPr>
          <w:p w14:paraId="536990F4">
            <w:pPr>
              <w:pStyle w:val="180"/>
            </w:pPr>
            <w:r>
              <w:rPr>
                <w:rFonts w:hint="eastAsia"/>
              </w:rPr>
              <w:t>崩塌泥石流</w:t>
            </w:r>
          </w:p>
        </w:tc>
        <w:tc>
          <w:tcPr>
            <w:tcW w:w="5942" w:type="dxa"/>
            <w:shd w:val="clear" w:color="auto" w:fill="auto"/>
            <w:vAlign w:val="center"/>
          </w:tcPr>
          <w:p w14:paraId="13EAC665">
            <w:pPr>
              <w:pStyle w:val="180"/>
            </w:pPr>
            <w:r>
              <w:rPr>
                <w:rFonts w:hint="eastAsia"/>
              </w:rPr>
              <w:t>固体物质主要由崩塌堆积物组成</w:t>
            </w:r>
          </w:p>
        </w:tc>
      </w:tr>
      <w:tr w14:paraId="20BA7B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B4E8B10">
            <w:pPr>
              <w:pStyle w:val="180"/>
            </w:pPr>
          </w:p>
        </w:tc>
        <w:tc>
          <w:tcPr>
            <w:tcW w:w="1701" w:type="dxa"/>
            <w:shd w:val="clear" w:color="auto" w:fill="auto"/>
            <w:vAlign w:val="center"/>
          </w:tcPr>
          <w:p w14:paraId="1F39C83F">
            <w:pPr>
              <w:pStyle w:val="180"/>
            </w:pPr>
            <w:r>
              <w:rPr>
                <w:rFonts w:hint="eastAsia"/>
              </w:rPr>
              <w:t>沟床侵蚀泥石流</w:t>
            </w:r>
          </w:p>
        </w:tc>
        <w:tc>
          <w:tcPr>
            <w:tcW w:w="5942" w:type="dxa"/>
            <w:shd w:val="clear" w:color="auto" w:fill="auto"/>
            <w:vAlign w:val="center"/>
          </w:tcPr>
          <w:p w14:paraId="06C3CDCA">
            <w:pPr>
              <w:pStyle w:val="180"/>
            </w:pPr>
            <w:r>
              <w:rPr>
                <w:rFonts w:hint="eastAsia"/>
              </w:rPr>
              <w:t>固体物质主要由沟床堆积物侵蚀提供</w:t>
            </w:r>
          </w:p>
        </w:tc>
      </w:tr>
      <w:tr w14:paraId="4E816A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2D0D86D1">
            <w:pPr>
              <w:pStyle w:val="180"/>
            </w:pPr>
          </w:p>
        </w:tc>
        <w:tc>
          <w:tcPr>
            <w:tcW w:w="1701" w:type="dxa"/>
            <w:shd w:val="clear" w:color="auto" w:fill="auto"/>
            <w:vAlign w:val="center"/>
          </w:tcPr>
          <w:p w14:paraId="7AF9D544">
            <w:pPr>
              <w:pStyle w:val="180"/>
            </w:pPr>
            <w:r>
              <w:rPr>
                <w:rFonts w:hint="eastAsia"/>
              </w:rPr>
              <w:t>坡面侵蚀泥石流</w:t>
            </w:r>
          </w:p>
        </w:tc>
        <w:tc>
          <w:tcPr>
            <w:tcW w:w="5942" w:type="dxa"/>
            <w:shd w:val="clear" w:color="auto" w:fill="auto"/>
            <w:vAlign w:val="center"/>
          </w:tcPr>
          <w:p w14:paraId="5D778DA2">
            <w:pPr>
              <w:pStyle w:val="180"/>
            </w:pPr>
            <w:r>
              <w:rPr>
                <w:rFonts w:hint="eastAsia"/>
              </w:rPr>
              <w:t>固体物质主要由坡面或冲沟侵蚀提供</w:t>
            </w:r>
          </w:p>
        </w:tc>
      </w:tr>
      <w:tr w14:paraId="366131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55DE9001">
            <w:pPr>
              <w:pStyle w:val="180"/>
            </w:pPr>
            <w:r>
              <w:rPr>
                <w:rFonts w:hint="eastAsia"/>
              </w:rPr>
              <w:t>流体性质</w:t>
            </w:r>
          </w:p>
        </w:tc>
        <w:tc>
          <w:tcPr>
            <w:tcW w:w="1701" w:type="dxa"/>
            <w:shd w:val="clear" w:color="auto" w:fill="auto"/>
            <w:vAlign w:val="center"/>
          </w:tcPr>
          <w:p w14:paraId="56474D5B">
            <w:pPr>
              <w:pStyle w:val="180"/>
            </w:pPr>
            <w:r>
              <w:rPr>
                <w:rFonts w:hint="eastAsia"/>
              </w:rPr>
              <w:t>粘性泥石流</w:t>
            </w:r>
          </w:p>
        </w:tc>
        <w:tc>
          <w:tcPr>
            <w:tcW w:w="5942" w:type="dxa"/>
            <w:shd w:val="clear" w:color="auto" w:fill="auto"/>
            <w:vAlign w:val="center"/>
          </w:tcPr>
          <w:p w14:paraId="086F717B">
            <w:pPr>
              <w:pStyle w:val="180"/>
            </w:pPr>
            <w:r>
              <w:rPr>
                <w:rFonts w:hint="eastAsia"/>
              </w:rPr>
              <w:t>层流，有阵流，浓度大，破坏力强，堆积物分选性差</w:t>
            </w:r>
          </w:p>
        </w:tc>
      </w:tr>
      <w:tr w14:paraId="5FE397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9C284E9">
            <w:pPr>
              <w:pStyle w:val="180"/>
            </w:pPr>
          </w:p>
        </w:tc>
        <w:tc>
          <w:tcPr>
            <w:tcW w:w="1701" w:type="dxa"/>
            <w:shd w:val="clear" w:color="auto" w:fill="auto"/>
            <w:vAlign w:val="center"/>
          </w:tcPr>
          <w:p w14:paraId="4671BD21">
            <w:pPr>
              <w:pStyle w:val="180"/>
            </w:pPr>
            <w:r>
              <w:rPr>
                <w:rFonts w:hint="eastAsia"/>
              </w:rPr>
              <w:t>稀性泥石流</w:t>
            </w:r>
          </w:p>
        </w:tc>
        <w:tc>
          <w:tcPr>
            <w:tcW w:w="5942" w:type="dxa"/>
            <w:shd w:val="clear" w:color="auto" w:fill="auto"/>
            <w:vAlign w:val="center"/>
          </w:tcPr>
          <w:p w14:paraId="147176B4">
            <w:pPr>
              <w:pStyle w:val="180"/>
            </w:pPr>
            <w:r>
              <w:rPr>
                <w:rFonts w:hint="eastAsia"/>
              </w:rPr>
              <w:t>紊流，散流，浓度小，破坏力较弱，堆积物分选性强</w:t>
            </w:r>
          </w:p>
        </w:tc>
      </w:tr>
      <w:tr w14:paraId="6A4555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39362298">
            <w:pPr>
              <w:pStyle w:val="180"/>
            </w:pPr>
            <w:r>
              <w:rPr>
                <w:rFonts w:hint="eastAsia"/>
              </w:rPr>
              <w:t>发育阶段</w:t>
            </w:r>
          </w:p>
        </w:tc>
        <w:tc>
          <w:tcPr>
            <w:tcW w:w="1701" w:type="dxa"/>
            <w:shd w:val="clear" w:color="auto" w:fill="auto"/>
            <w:vAlign w:val="center"/>
          </w:tcPr>
          <w:p w14:paraId="6CD9F8CF">
            <w:pPr>
              <w:pStyle w:val="180"/>
            </w:pPr>
            <w:r>
              <w:rPr>
                <w:rFonts w:hint="eastAsia"/>
              </w:rPr>
              <w:t>发育期泥石流</w:t>
            </w:r>
          </w:p>
        </w:tc>
        <w:tc>
          <w:tcPr>
            <w:tcW w:w="5942" w:type="dxa"/>
            <w:shd w:val="clear" w:color="auto" w:fill="auto"/>
            <w:vAlign w:val="center"/>
          </w:tcPr>
          <w:p w14:paraId="012B0401">
            <w:pPr>
              <w:pStyle w:val="180"/>
            </w:pPr>
            <w:r>
              <w:rPr>
                <w:rFonts w:hint="eastAsia"/>
              </w:rPr>
              <w:t>山体破碎不稳，日益发展，淤积速度递增，规模小</w:t>
            </w:r>
          </w:p>
        </w:tc>
      </w:tr>
      <w:tr w14:paraId="478A8C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00FE74D1">
            <w:pPr>
              <w:pStyle w:val="180"/>
            </w:pPr>
          </w:p>
        </w:tc>
        <w:tc>
          <w:tcPr>
            <w:tcW w:w="1701" w:type="dxa"/>
            <w:shd w:val="clear" w:color="auto" w:fill="auto"/>
            <w:vAlign w:val="center"/>
          </w:tcPr>
          <w:p w14:paraId="3CD41D57">
            <w:pPr>
              <w:pStyle w:val="180"/>
            </w:pPr>
            <w:r>
              <w:rPr>
                <w:rFonts w:hint="eastAsia"/>
              </w:rPr>
              <w:t>旺盛期泥石流</w:t>
            </w:r>
          </w:p>
        </w:tc>
        <w:tc>
          <w:tcPr>
            <w:tcW w:w="5942" w:type="dxa"/>
            <w:shd w:val="clear" w:color="auto" w:fill="auto"/>
            <w:vAlign w:val="center"/>
          </w:tcPr>
          <w:p w14:paraId="30765AEA">
            <w:pPr>
              <w:pStyle w:val="180"/>
            </w:pPr>
            <w:r>
              <w:rPr>
                <w:rFonts w:hint="eastAsia"/>
              </w:rPr>
              <w:t>沟坡极不稳定，淤积速度稳定，规模大</w:t>
            </w:r>
          </w:p>
        </w:tc>
      </w:tr>
      <w:tr w14:paraId="22C5A2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2948DE2E">
            <w:pPr>
              <w:pStyle w:val="180"/>
            </w:pPr>
          </w:p>
        </w:tc>
        <w:tc>
          <w:tcPr>
            <w:tcW w:w="1701" w:type="dxa"/>
            <w:shd w:val="clear" w:color="auto" w:fill="auto"/>
            <w:vAlign w:val="center"/>
          </w:tcPr>
          <w:p w14:paraId="6B8063A6">
            <w:pPr>
              <w:pStyle w:val="180"/>
            </w:pPr>
            <w:r>
              <w:rPr>
                <w:rFonts w:hint="eastAsia"/>
              </w:rPr>
              <w:t>衰败期泥石流</w:t>
            </w:r>
          </w:p>
        </w:tc>
        <w:tc>
          <w:tcPr>
            <w:tcW w:w="5942" w:type="dxa"/>
            <w:shd w:val="clear" w:color="auto" w:fill="auto"/>
            <w:vAlign w:val="center"/>
          </w:tcPr>
          <w:p w14:paraId="377BC873">
            <w:pPr>
              <w:pStyle w:val="180"/>
            </w:pPr>
            <w:r>
              <w:rPr>
                <w:rFonts w:hint="eastAsia"/>
              </w:rPr>
              <w:t>沟坡趋于稳定，以河床侵蚀为主，有淤有冲，由淤转冲</w:t>
            </w:r>
          </w:p>
        </w:tc>
      </w:tr>
      <w:tr w14:paraId="5E9916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2E657AA">
            <w:pPr>
              <w:pStyle w:val="180"/>
            </w:pPr>
          </w:p>
        </w:tc>
        <w:tc>
          <w:tcPr>
            <w:tcW w:w="1701" w:type="dxa"/>
            <w:shd w:val="clear" w:color="auto" w:fill="auto"/>
            <w:vAlign w:val="center"/>
          </w:tcPr>
          <w:p w14:paraId="29BDDC2B">
            <w:pPr>
              <w:pStyle w:val="180"/>
            </w:pPr>
            <w:r>
              <w:rPr>
                <w:rFonts w:hint="eastAsia"/>
              </w:rPr>
              <w:t>停歇期泥石流</w:t>
            </w:r>
          </w:p>
        </w:tc>
        <w:tc>
          <w:tcPr>
            <w:tcW w:w="5942" w:type="dxa"/>
            <w:shd w:val="clear" w:color="auto" w:fill="auto"/>
            <w:vAlign w:val="center"/>
          </w:tcPr>
          <w:p w14:paraId="73B41511">
            <w:pPr>
              <w:pStyle w:val="180"/>
            </w:pPr>
            <w:r>
              <w:rPr>
                <w:rFonts w:hint="eastAsia"/>
              </w:rPr>
              <w:t>沟坡稳定，植被恢复，冲刷为主，沟槽稳定</w:t>
            </w:r>
          </w:p>
        </w:tc>
      </w:tr>
      <w:tr w14:paraId="30144F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32105AC9">
            <w:pPr>
              <w:pStyle w:val="180"/>
            </w:pPr>
            <w:r>
              <w:rPr>
                <w:rFonts w:hint="eastAsia"/>
              </w:rPr>
              <w:t>暴发频率（n）</w:t>
            </w:r>
          </w:p>
        </w:tc>
        <w:tc>
          <w:tcPr>
            <w:tcW w:w="1701" w:type="dxa"/>
            <w:shd w:val="clear" w:color="auto" w:fill="auto"/>
            <w:vAlign w:val="center"/>
          </w:tcPr>
          <w:p w14:paraId="387793B5">
            <w:pPr>
              <w:pStyle w:val="180"/>
            </w:pPr>
            <w:r>
              <w:rPr>
                <w:rFonts w:hint="eastAsia"/>
              </w:rPr>
              <w:t>极高频泥石流</w:t>
            </w:r>
          </w:p>
        </w:tc>
        <w:tc>
          <w:tcPr>
            <w:tcW w:w="5942" w:type="dxa"/>
            <w:shd w:val="clear" w:color="auto" w:fill="auto"/>
            <w:vAlign w:val="center"/>
          </w:tcPr>
          <w:p w14:paraId="5E6A538E">
            <w:pPr>
              <w:pStyle w:val="180"/>
            </w:pPr>
            <w:r>
              <w:rPr>
                <w:rFonts w:hint="eastAsia"/>
              </w:rPr>
              <w:t>n≥10次/年</w:t>
            </w:r>
          </w:p>
        </w:tc>
      </w:tr>
      <w:tr w14:paraId="6E9588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1636A33F">
            <w:pPr>
              <w:pStyle w:val="180"/>
            </w:pPr>
          </w:p>
        </w:tc>
        <w:tc>
          <w:tcPr>
            <w:tcW w:w="1701" w:type="dxa"/>
            <w:shd w:val="clear" w:color="auto" w:fill="auto"/>
            <w:vAlign w:val="center"/>
          </w:tcPr>
          <w:p w14:paraId="49215B4A">
            <w:pPr>
              <w:pStyle w:val="180"/>
            </w:pPr>
            <w:r>
              <w:rPr>
                <w:rFonts w:hint="eastAsia"/>
              </w:rPr>
              <w:t>高频泥石流</w:t>
            </w:r>
          </w:p>
        </w:tc>
        <w:tc>
          <w:tcPr>
            <w:tcW w:w="5942" w:type="dxa"/>
            <w:shd w:val="clear" w:color="auto" w:fill="auto"/>
            <w:vAlign w:val="center"/>
          </w:tcPr>
          <w:p w14:paraId="1FB7F097">
            <w:pPr>
              <w:pStyle w:val="180"/>
            </w:pPr>
            <w:r>
              <w:rPr>
                <w:rFonts w:hint="eastAsia"/>
              </w:rPr>
              <w:t>1次/年≤n＜10次/年</w:t>
            </w:r>
          </w:p>
        </w:tc>
      </w:tr>
      <w:tr w14:paraId="70D60D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798F5C36">
            <w:pPr>
              <w:pStyle w:val="180"/>
            </w:pPr>
          </w:p>
        </w:tc>
        <w:tc>
          <w:tcPr>
            <w:tcW w:w="1701" w:type="dxa"/>
            <w:shd w:val="clear" w:color="auto" w:fill="auto"/>
            <w:vAlign w:val="center"/>
          </w:tcPr>
          <w:p w14:paraId="0BD17955">
            <w:pPr>
              <w:pStyle w:val="180"/>
            </w:pPr>
            <w:r>
              <w:rPr>
                <w:rFonts w:hint="eastAsia"/>
              </w:rPr>
              <w:t>中频泥石流</w:t>
            </w:r>
          </w:p>
        </w:tc>
        <w:tc>
          <w:tcPr>
            <w:tcW w:w="5942" w:type="dxa"/>
            <w:shd w:val="clear" w:color="auto" w:fill="auto"/>
            <w:vAlign w:val="center"/>
          </w:tcPr>
          <w:p w14:paraId="7E287323">
            <w:pPr>
              <w:pStyle w:val="180"/>
            </w:pPr>
            <w:r>
              <w:rPr>
                <w:rFonts w:hint="eastAsia"/>
              </w:rPr>
              <w:t>0.1次/年≤n＜1次/年</w:t>
            </w:r>
          </w:p>
        </w:tc>
      </w:tr>
      <w:tr w14:paraId="5069BF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EE16C5A">
            <w:pPr>
              <w:pStyle w:val="180"/>
            </w:pPr>
          </w:p>
        </w:tc>
        <w:tc>
          <w:tcPr>
            <w:tcW w:w="1701" w:type="dxa"/>
            <w:shd w:val="clear" w:color="auto" w:fill="auto"/>
            <w:vAlign w:val="center"/>
          </w:tcPr>
          <w:p w14:paraId="0906B382">
            <w:pPr>
              <w:pStyle w:val="180"/>
            </w:pPr>
            <w:r>
              <w:rPr>
                <w:rFonts w:hint="eastAsia"/>
              </w:rPr>
              <w:t>低频泥石流</w:t>
            </w:r>
          </w:p>
        </w:tc>
        <w:tc>
          <w:tcPr>
            <w:tcW w:w="5942" w:type="dxa"/>
            <w:shd w:val="clear" w:color="auto" w:fill="auto"/>
            <w:vAlign w:val="center"/>
          </w:tcPr>
          <w:p w14:paraId="61212A89">
            <w:pPr>
              <w:pStyle w:val="180"/>
            </w:pPr>
            <w:r>
              <w:rPr>
                <w:rFonts w:hint="eastAsia"/>
              </w:rPr>
              <w:t>n＜0.1次/年</w:t>
            </w:r>
          </w:p>
        </w:tc>
      </w:tr>
      <w:tr w14:paraId="3D5DEB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restart"/>
            <w:shd w:val="clear" w:color="auto" w:fill="auto"/>
            <w:vAlign w:val="center"/>
          </w:tcPr>
          <w:p w14:paraId="03DDF97F">
            <w:pPr>
              <w:pStyle w:val="180"/>
            </w:pPr>
            <w:r>
              <w:rPr>
                <w:rFonts w:hint="eastAsia"/>
              </w:rPr>
              <w:t>堆积物体积（v）</w:t>
            </w:r>
          </w:p>
        </w:tc>
        <w:tc>
          <w:tcPr>
            <w:tcW w:w="1701" w:type="dxa"/>
            <w:shd w:val="clear" w:color="auto" w:fill="auto"/>
            <w:vAlign w:val="center"/>
          </w:tcPr>
          <w:p w14:paraId="75B939E7">
            <w:pPr>
              <w:pStyle w:val="180"/>
            </w:pPr>
            <w:r>
              <w:rPr>
                <w:rFonts w:hint="eastAsia"/>
              </w:rPr>
              <w:t>特大型泥石流</w:t>
            </w:r>
          </w:p>
        </w:tc>
        <w:tc>
          <w:tcPr>
            <w:tcW w:w="5942" w:type="dxa"/>
            <w:shd w:val="clear" w:color="auto" w:fill="auto"/>
            <w:vAlign w:val="center"/>
          </w:tcPr>
          <w:p w14:paraId="5DEF38AB">
            <w:pPr>
              <w:pStyle w:val="180"/>
            </w:pPr>
            <w:r>
              <w:rPr>
                <w:rFonts w:hint="eastAsia"/>
              </w:rPr>
              <w:t>v ≥50×10</w:t>
            </w:r>
            <w:r>
              <w:rPr>
                <w:rFonts w:hint="eastAsia"/>
                <w:vertAlign w:val="superscript"/>
              </w:rPr>
              <w:t>4</w:t>
            </w:r>
            <w:r>
              <w:rPr>
                <w:rFonts w:hint="eastAsia"/>
              </w:rPr>
              <w:t xml:space="preserve"> m</w:t>
            </w:r>
            <w:r>
              <w:rPr>
                <w:rFonts w:hint="eastAsia"/>
                <w:vertAlign w:val="superscript"/>
              </w:rPr>
              <w:t>3</w:t>
            </w:r>
          </w:p>
        </w:tc>
      </w:tr>
      <w:tr w14:paraId="2B4819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57296F8D">
            <w:pPr>
              <w:pStyle w:val="180"/>
            </w:pPr>
          </w:p>
        </w:tc>
        <w:tc>
          <w:tcPr>
            <w:tcW w:w="1701" w:type="dxa"/>
            <w:shd w:val="clear" w:color="auto" w:fill="auto"/>
            <w:vAlign w:val="center"/>
          </w:tcPr>
          <w:p w14:paraId="6BA94F68">
            <w:pPr>
              <w:pStyle w:val="180"/>
            </w:pPr>
            <w:r>
              <w:rPr>
                <w:rFonts w:hint="eastAsia"/>
              </w:rPr>
              <w:t>大型泥石流</w:t>
            </w:r>
          </w:p>
        </w:tc>
        <w:tc>
          <w:tcPr>
            <w:tcW w:w="5942" w:type="dxa"/>
            <w:shd w:val="clear" w:color="auto" w:fill="auto"/>
            <w:vAlign w:val="center"/>
          </w:tcPr>
          <w:p w14:paraId="59584B28">
            <w:pPr>
              <w:pStyle w:val="180"/>
            </w:pPr>
            <w:r>
              <w:rPr>
                <w:rFonts w:hint="eastAsia"/>
              </w:rPr>
              <w:t>20×10</w:t>
            </w:r>
            <w:r>
              <w:rPr>
                <w:rFonts w:hint="eastAsia"/>
                <w:vertAlign w:val="superscript"/>
              </w:rPr>
              <w:t>4</w:t>
            </w:r>
            <w:r>
              <w:rPr>
                <w:rFonts w:hint="eastAsia"/>
              </w:rPr>
              <w:t xml:space="preserve"> m</w:t>
            </w:r>
            <w:r>
              <w:rPr>
                <w:rFonts w:hint="eastAsia"/>
                <w:vertAlign w:val="superscript"/>
              </w:rPr>
              <w:t>3</w:t>
            </w:r>
            <w:r>
              <w:rPr>
                <w:rFonts w:hint="eastAsia"/>
              </w:rPr>
              <w:t>≤v ＜50×10</w:t>
            </w:r>
            <w:r>
              <w:rPr>
                <w:rFonts w:hint="eastAsia"/>
                <w:vertAlign w:val="superscript"/>
              </w:rPr>
              <w:t>4</w:t>
            </w:r>
            <w:r>
              <w:rPr>
                <w:rFonts w:hint="eastAsia"/>
              </w:rPr>
              <w:t xml:space="preserve"> m</w:t>
            </w:r>
            <w:r>
              <w:rPr>
                <w:rFonts w:hint="eastAsia"/>
                <w:vertAlign w:val="superscript"/>
              </w:rPr>
              <w:t>3</w:t>
            </w:r>
          </w:p>
        </w:tc>
      </w:tr>
      <w:tr w14:paraId="348E2A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0805E591">
            <w:pPr>
              <w:pStyle w:val="180"/>
            </w:pPr>
          </w:p>
        </w:tc>
        <w:tc>
          <w:tcPr>
            <w:tcW w:w="1701" w:type="dxa"/>
            <w:shd w:val="clear" w:color="auto" w:fill="auto"/>
            <w:vAlign w:val="center"/>
          </w:tcPr>
          <w:p w14:paraId="65449E66">
            <w:pPr>
              <w:pStyle w:val="180"/>
            </w:pPr>
            <w:r>
              <w:rPr>
                <w:rFonts w:hint="eastAsia"/>
              </w:rPr>
              <w:t>中型泥石流</w:t>
            </w:r>
          </w:p>
        </w:tc>
        <w:tc>
          <w:tcPr>
            <w:tcW w:w="5942" w:type="dxa"/>
            <w:shd w:val="clear" w:color="auto" w:fill="auto"/>
            <w:vAlign w:val="center"/>
          </w:tcPr>
          <w:p w14:paraId="147DAE23">
            <w:pPr>
              <w:pStyle w:val="180"/>
            </w:pPr>
            <w:r>
              <w:rPr>
                <w:rFonts w:hint="eastAsia"/>
              </w:rPr>
              <w:t>2×10</w:t>
            </w:r>
            <w:r>
              <w:rPr>
                <w:rFonts w:hint="eastAsia"/>
                <w:vertAlign w:val="superscript"/>
              </w:rPr>
              <w:t>4</w:t>
            </w:r>
            <w:r>
              <w:rPr>
                <w:rFonts w:hint="eastAsia"/>
              </w:rPr>
              <w:t xml:space="preserve"> m</w:t>
            </w:r>
            <w:r>
              <w:rPr>
                <w:rFonts w:hint="eastAsia"/>
                <w:vertAlign w:val="superscript"/>
              </w:rPr>
              <w:t>3</w:t>
            </w:r>
            <w:r>
              <w:rPr>
                <w:rFonts w:hint="eastAsia"/>
              </w:rPr>
              <w:t>≤v ＜20×10</w:t>
            </w:r>
            <w:r>
              <w:rPr>
                <w:rFonts w:hint="eastAsia"/>
                <w:vertAlign w:val="superscript"/>
              </w:rPr>
              <w:t>4</w:t>
            </w:r>
            <w:r>
              <w:rPr>
                <w:rFonts w:hint="eastAsia"/>
              </w:rPr>
              <w:t xml:space="preserve"> m</w:t>
            </w:r>
            <w:r>
              <w:rPr>
                <w:rFonts w:hint="eastAsia"/>
                <w:vertAlign w:val="superscript"/>
              </w:rPr>
              <w:t>3</w:t>
            </w:r>
          </w:p>
        </w:tc>
      </w:tr>
      <w:tr w14:paraId="4549C1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vMerge w:val="continue"/>
            <w:shd w:val="clear" w:color="auto" w:fill="auto"/>
            <w:vAlign w:val="center"/>
          </w:tcPr>
          <w:p w14:paraId="4D04AD55">
            <w:pPr>
              <w:pStyle w:val="180"/>
            </w:pPr>
          </w:p>
        </w:tc>
        <w:tc>
          <w:tcPr>
            <w:tcW w:w="1701" w:type="dxa"/>
            <w:shd w:val="clear" w:color="auto" w:fill="auto"/>
            <w:vAlign w:val="center"/>
          </w:tcPr>
          <w:p w14:paraId="477A84D9">
            <w:pPr>
              <w:pStyle w:val="180"/>
            </w:pPr>
            <w:r>
              <w:rPr>
                <w:rFonts w:hint="eastAsia"/>
              </w:rPr>
              <w:t>小型泥石流</w:t>
            </w:r>
          </w:p>
        </w:tc>
        <w:tc>
          <w:tcPr>
            <w:tcW w:w="5942" w:type="dxa"/>
            <w:shd w:val="clear" w:color="auto" w:fill="auto"/>
            <w:vAlign w:val="center"/>
          </w:tcPr>
          <w:p w14:paraId="4247530C">
            <w:pPr>
              <w:pStyle w:val="180"/>
            </w:pPr>
            <w:r>
              <w:rPr>
                <w:rFonts w:hint="eastAsia"/>
              </w:rPr>
              <w:t>v ＜2×10</w:t>
            </w:r>
            <w:r>
              <w:rPr>
                <w:rFonts w:hint="eastAsia"/>
                <w:vertAlign w:val="superscript"/>
              </w:rPr>
              <w:t>4</w:t>
            </w:r>
            <w:r>
              <w:rPr>
                <w:rFonts w:hint="eastAsia"/>
              </w:rPr>
              <w:t xml:space="preserve"> m</w:t>
            </w:r>
            <w:r>
              <w:rPr>
                <w:rFonts w:hint="eastAsia"/>
                <w:vertAlign w:val="superscript"/>
              </w:rPr>
              <w:t>3</w:t>
            </w:r>
          </w:p>
        </w:tc>
      </w:tr>
    </w:tbl>
    <w:p w14:paraId="0CE0FA12">
      <w:pPr>
        <w:pStyle w:val="79"/>
        <w:spacing w:before="156" w:after="156"/>
      </w:pPr>
      <w:r>
        <w:rPr>
          <w:rFonts w:hint="eastAsia"/>
        </w:rPr>
        <w:t>地面塌陷分类</w:t>
      </w:r>
    </w:p>
    <w:tbl>
      <w:tblPr>
        <w:tblStyle w:val="29"/>
        <w:tblW w:w="594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550"/>
        <w:gridCol w:w="4394"/>
      </w:tblGrid>
      <w:tr w14:paraId="25398A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0" w:type="dxa"/>
            <w:tcBorders>
              <w:top w:val="single" w:color="auto" w:sz="8" w:space="0"/>
              <w:bottom w:val="single" w:color="auto" w:sz="8" w:space="0"/>
            </w:tcBorders>
            <w:shd w:val="clear" w:color="auto" w:fill="auto"/>
          </w:tcPr>
          <w:p w14:paraId="3122061D">
            <w:pPr>
              <w:pStyle w:val="180"/>
            </w:pPr>
            <w:r>
              <w:rPr>
                <w:rFonts w:hint="eastAsia"/>
              </w:rPr>
              <w:t>规模</w:t>
            </w:r>
          </w:p>
        </w:tc>
        <w:tc>
          <w:tcPr>
            <w:tcW w:w="4394" w:type="dxa"/>
            <w:tcBorders>
              <w:top w:val="single" w:color="auto" w:sz="8" w:space="0"/>
              <w:bottom w:val="single" w:color="auto" w:sz="8" w:space="0"/>
            </w:tcBorders>
            <w:shd w:val="clear" w:color="auto" w:fill="auto"/>
          </w:tcPr>
          <w:p w14:paraId="0151410F">
            <w:pPr>
              <w:pStyle w:val="180"/>
            </w:pPr>
            <w:r>
              <w:rPr>
                <w:rFonts w:hint="eastAsia"/>
              </w:rPr>
              <w:t>塌陷变形面积S/km</w:t>
            </w:r>
            <w:r>
              <w:rPr>
                <w:rFonts w:hint="eastAsia"/>
                <w:vertAlign w:val="superscript"/>
              </w:rPr>
              <w:t>2</w:t>
            </w:r>
          </w:p>
        </w:tc>
      </w:tr>
      <w:tr w14:paraId="5CA430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tcBorders>
              <w:top w:val="single" w:color="auto" w:sz="8" w:space="0"/>
            </w:tcBorders>
            <w:shd w:val="clear" w:color="auto" w:fill="auto"/>
          </w:tcPr>
          <w:p w14:paraId="2B8731F4">
            <w:pPr>
              <w:pStyle w:val="180"/>
            </w:pPr>
            <w:r>
              <w:rPr>
                <w:rFonts w:hint="eastAsia"/>
              </w:rPr>
              <w:t>巨型</w:t>
            </w:r>
          </w:p>
        </w:tc>
        <w:tc>
          <w:tcPr>
            <w:tcW w:w="4394" w:type="dxa"/>
            <w:tcBorders>
              <w:top w:val="single" w:color="auto" w:sz="8" w:space="0"/>
            </w:tcBorders>
            <w:shd w:val="clear" w:color="auto" w:fill="auto"/>
          </w:tcPr>
          <w:p w14:paraId="7C943438">
            <w:pPr>
              <w:pStyle w:val="180"/>
            </w:pPr>
            <w:r>
              <w:rPr>
                <w:rFonts w:hint="eastAsia"/>
              </w:rPr>
              <w:t>S≥10</w:t>
            </w:r>
          </w:p>
        </w:tc>
      </w:tr>
      <w:tr w14:paraId="319D1D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tcPr>
          <w:p w14:paraId="21F7ED52">
            <w:pPr>
              <w:pStyle w:val="180"/>
            </w:pPr>
            <w:r>
              <w:rPr>
                <w:rFonts w:hint="eastAsia"/>
              </w:rPr>
              <w:t>特大型</w:t>
            </w:r>
          </w:p>
        </w:tc>
        <w:tc>
          <w:tcPr>
            <w:tcW w:w="4394" w:type="dxa"/>
            <w:shd w:val="clear" w:color="auto" w:fill="auto"/>
          </w:tcPr>
          <w:p w14:paraId="3F5817FD">
            <w:pPr>
              <w:pStyle w:val="180"/>
            </w:pPr>
            <w:r>
              <w:rPr>
                <w:rFonts w:hint="eastAsia"/>
              </w:rPr>
              <w:t>1＜S≤10</w:t>
            </w:r>
          </w:p>
        </w:tc>
      </w:tr>
      <w:tr w14:paraId="2B2731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tcPr>
          <w:p w14:paraId="737DBFBF">
            <w:pPr>
              <w:pStyle w:val="180"/>
            </w:pPr>
            <w:r>
              <w:rPr>
                <w:rFonts w:hint="eastAsia"/>
              </w:rPr>
              <w:t>大型</w:t>
            </w:r>
          </w:p>
        </w:tc>
        <w:tc>
          <w:tcPr>
            <w:tcW w:w="4394" w:type="dxa"/>
            <w:shd w:val="clear" w:color="auto" w:fill="auto"/>
          </w:tcPr>
          <w:p w14:paraId="3A31FF98">
            <w:pPr>
              <w:pStyle w:val="180"/>
            </w:pPr>
            <w:r>
              <w:rPr>
                <w:rFonts w:hint="eastAsia"/>
              </w:rPr>
              <w:t>0.1＜S≤1</w:t>
            </w:r>
          </w:p>
        </w:tc>
      </w:tr>
      <w:tr w14:paraId="02BDD6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tcPr>
          <w:p w14:paraId="19AD64AE">
            <w:pPr>
              <w:pStyle w:val="180"/>
            </w:pPr>
            <w:r>
              <w:rPr>
                <w:rFonts w:hint="eastAsia"/>
              </w:rPr>
              <w:t>中型</w:t>
            </w:r>
          </w:p>
        </w:tc>
        <w:tc>
          <w:tcPr>
            <w:tcW w:w="4394" w:type="dxa"/>
            <w:shd w:val="clear" w:color="auto" w:fill="auto"/>
          </w:tcPr>
          <w:p w14:paraId="2BFC2255">
            <w:pPr>
              <w:pStyle w:val="180"/>
            </w:pPr>
            <w:r>
              <w:rPr>
                <w:rFonts w:hint="eastAsia"/>
              </w:rPr>
              <w:t>0.01＜S≤0. 1</w:t>
            </w:r>
          </w:p>
        </w:tc>
      </w:tr>
      <w:tr w14:paraId="49F8CF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0" w:type="dxa"/>
            <w:shd w:val="clear" w:color="auto" w:fill="auto"/>
          </w:tcPr>
          <w:p w14:paraId="47D7A1E9">
            <w:pPr>
              <w:pStyle w:val="180"/>
            </w:pPr>
            <w:r>
              <w:rPr>
                <w:rFonts w:hint="eastAsia"/>
              </w:rPr>
              <w:t>小型</w:t>
            </w:r>
          </w:p>
        </w:tc>
        <w:tc>
          <w:tcPr>
            <w:tcW w:w="4394" w:type="dxa"/>
            <w:shd w:val="clear" w:color="auto" w:fill="auto"/>
          </w:tcPr>
          <w:p w14:paraId="366B35B9">
            <w:pPr>
              <w:pStyle w:val="180"/>
            </w:pPr>
            <w:r>
              <w:rPr>
                <w:rFonts w:hint="eastAsia"/>
              </w:rPr>
              <w:t>S≤0.01</w:t>
            </w:r>
          </w:p>
        </w:tc>
      </w:tr>
    </w:tbl>
    <w:p w14:paraId="17625BA3">
      <w:pPr>
        <w:pStyle w:val="79"/>
        <w:spacing w:before="156" w:after="156"/>
      </w:pPr>
      <w:r>
        <w:rPr>
          <w:rFonts w:hint="eastAsia" w:ascii="Times New Roman"/>
          <w:szCs w:val="21"/>
        </w:rPr>
        <w:t>地裂缝成因分类表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124"/>
        <w:gridCol w:w="1843"/>
        <w:gridCol w:w="1701"/>
        <w:gridCol w:w="992"/>
        <w:gridCol w:w="3674"/>
      </w:tblGrid>
      <w:tr w14:paraId="654736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124" w:type="dxa"/>
            <w:tcBorders>
              <w:top w:val="single" w:color="auto" w:sz="8" w:space="0"/>
              <w:bottom w:val="single" w:color="auto" w:sz="8" w:space="0"/>
            </w:tcBorders>
            <w:shd w:val="clear" w:color="auto" w:fill="auto"/>
            <w:vAlign w:val="center"/>
          </w:tcPr>
          <w:p w14:paraId="5A117E1E">
            <w:pPr>
              <w:pStyle w:val="180"/>
            </w:pPr>
            <w:r>
              <w:rPr>
                <w:rFonts w:hint="eastAsia"/>
              </w:rPr>
              <w:t>类 型</w:t>
            </w:r>
          </w:p>
        </w:tc>
        <w:tc>
          <w:tcPr>
            <w:tcW w:w="1843" w:type="dxa"/>
            <w:tcBorders>
              <w:top w:val="single" w:color="auto" w:sz="8" w:space="0"/>
              <w:bottom w:val="single" w:color="auto" w:sz="8" w:space="0"/>
            </w:tcBorders>
            <w:shd w:val="clear" w:color="auto" w:fill="auto"/>
            <w:vAlign w:val="center"/>
          </w:tcPr>
          <w:p w14:paraId="6C203404">
            <w:pPr>
              <w:pStyle w:val="180"/>
            </w:pPr>
            <w:r>
              <w:rPr>
                <w:rFonts w:hint="eastAsia"/>
              </w:rPr>
              <w:t>主导因素</w:t>
            </w:r>
          </w:p>
        </w:tc>
        <w:tc>
          <w:tcPr>
            <w:tcW w:w="1701" w:type="dxa"/>
            <w:tcBorders>
              <w:top w:val="single" w:color="auto" w:sz="8" w:space="0"/>
              <w:bottom w:val="single" w:color="auto" w:sz="8" w:space="0"/>
            </w:tcBorders>
            <w:shd w:val="clear" w:color="auto" w:fill="auto"/>
            <w:vAlign w:val="center"/>
          </w:tcPr>
          <w:p w14:paraId="2A78659B">
            <w:pPr>
              <w:pStyle w:val="180"/>
            </w:pPr>
            <w:r>
              <w:rPr>
                <w:rFonts w:hint="eastAsia"/>
              </w:rPr>
              <w:t>动力类型</w:t>
            </w:r>
          </w:p>
        </w:tc>
        <w:tc>
          <w:tcPr>
            <w:tcW w:w="4666" w:type="dxa"/>
            <w:gridSpan w:val="2"/>
            <w:tcBorders>
              <w:top w:val="single" w:color="auto" w:sz="8" w:space="0"/>
              <w:bottom w:val="single" w:color="auto" w:sz="8" w:space="0"/>
            </w:tcBorders>
            <w:shd w:val="clear" w:color="auto" w:fill="auto"/>
            <w:vAlign w:val="center"/>
          </w:tcPr>
          <w:p w14:paraId="67DEB15D">
            <w:pPr>
              <w:pStyle w:val="180"/>
            </w:pPr>
            <w:r>
              <w:rPr>
                <w:rFonts w:hint="eastAsia"/>
              </w:rPr>
              <w:t>种 型</w:t>
            </w:r>
          </w:p>
        </w:tc>
      </w:tr>
      <w:tr w14:paraId="5EE2CE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restart"/>
            <w:tcBorders>
              <w:top w:val="single" w:color="auto" w:sz="8" w:space="0"/>
            </w:tcBorders>
            <w:shd w:val="clear" w:color="auto" w:fill="auto"/>
            <w:vAlign w:val="center"/>
          </w:tcPr>
          <w:p w14:paraId="78073292">
            <w:pPr>
              <w:pStyle w:val="180"/>
            </w:pPr>
            <w:r>
              <w:rPr>
                <w:rFonts w:hint="eastAsia"/>
              </w:rPr>
              <w:t>构造地裂缝</w:t>
            </w:r>
          </w:p>
        </w:tc>
        <w:tc>
          <w:tcPr>
            <w:tcW w:w="1843" w:type="dxa"/>
            <w:vMerge w:val="restart"/>
            <w:tcBorders>
              <w:top w:val="single" w:color="auto" w:sz="8" w:space="0"/>
            </w:tcBorders>
            <w:shd w:val="clear" w:color="auto" w:fill="auto"/>
            <w:vAlign w:val="center"/>
          </w:tcPr>
          <w:p w14:paraId="472C0FD0">
            <w:pPr>
              <w:pStyle w:val="180"/>
            </w:pPr>
            <w:r>
              <w:rPr>
                <w:rFonts w:hint="eastAsia"/>
              </w:rPr>
              <w:t>自然内营力作用为主</w:t>
            </w:r>
          </w:p>
        </w:tc>
        <w:tc>
          <w:tcPr>
            <w:tcW w:w="1701" w:type="dxa"/>
            <w:tcBorders>
              <w:top w:val="single" w:color="auto" w:sz="8" w:space="0"/>
            </w:tcBorders>
            <w:shd w:val="clear" w:color="auto" w:fill="auto"/>
            <w:vAlign w:val="center"/>
          </w:tcPr>
          <w:p w14:paraId="00677350">
            <w:pPr>
              <w:pStyle w:val="180"/>
            </w:pPr>
            <w:r>
              <w:rPr>
                <w:rFonts w:hint="eastAsia"/>
              </w:rPr>
              <w:t>断层蠕滑作用</w:t>
            </w:r>
          </w:p>
        </w:tc>
        <w:tc>
          <w:tcPr>
            <w:tcW w:w="992" w:type="dxa"/>
            <w:vMerge w:val="restart"/>
            <w:tcBorders>
              <w:top w:val="single" w:color="auto" w:sz="8" w:space="0"/>
            </w:tcBorders>
            <w:shd w:val="clear" w:color="auto" w:fill="auto"/>
            <w:vAlign w:val="center"/>
          </w:tcPr>
          <w:p w14:paraId="1BBF61E3">
            <w:pPr>
              <w:widowControl/>
              <w:tabs>
                <w:tab w:val="center" w:pos="4201"/>
                <w:tab w:val="right" w:leader="dot" w:pos="9298"/>
              </w:tabs>
              <w:autoSpaceDE w:val="0"/>
              <w:autoSpaceDN w:val="0"/>
              <w:adjustRightInd/>
              <w:spacing w:line="240" w:lineRule="auto"/>
              <w:jc w:val="center"/>
              <w:rPr>
                <w:rFonts w:ascii="Times New Roman" w:hAnsi="Times New Roman"/>
                <w:sz w:val="18"/>
                <w:szCs w:val="18"/>
              </w:rPr>
            </w:pPr>
            <w:r>
              <w:rPr>
                <w:rFonts w:hint="eastAsia" w:ascii="Times New Roman" w:hAnsi="Times New Roman"/>
                <w:sz w:val="18"/>
                <w:szCs w:val="18"/>
              </w:rPr>
              <w:t>断层控制型地裂缝</w:t>
            </w:r>
          </w:p>
        </w:tc>
        <w:tc>
          <w:tcPr>
            <w:tcW w:w="3674" w:type="dxa"/>
            <w:tcBorders>
              <w:top w:val="single" w:color="auto" w:sz="8" w:space="0"/>
            </w:tcBorders>
            <w:shd w:val="clear" w:color="auto" w:fill="auto"/>
            <w:vAlign w:val="center"/>
          </w:tcPr>
          <w:p w14:paraId="181B002F">
            <w:pPr>
              <w:pStyle w:val="180"/>
            </w:pPr>
            <w:r>
              <w:rPr>
                <w:rFonts w:hint="eastAsia"/>
              </w:rPr>
              <w:t>断层蠕滑地裂缝</w:t>
            </w:r>
          </w:p>
        </w:tc>
      </w:tr>
      <w:tr w14:paraId="01FC14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E0DBDDE">
            <w:pPr>
              <w:pStyle w:val="180"/>
            </w:pPr>
          </w:p>
        </w:tc>
        <w:tc>
          <w:tcPr>
            <w:tcW w:w="1843" w:type="dxa"/>
            <w:vMerge w:val="continue"/>
            <w:shd w:val="clear" w:color="auto" w:fill="auto"/>
            <w:vAlign w:val="center"/>
          </w:tcPr>
          <w:p w14:paraId="3039B5BB">
            <w:pPr>
              <w:pStyle w:val="180"/>
            </w:pPr>
          </w:p>
        </w:tc>
        <w:tc>
          <w:tcPr>
            <w:tcW w:w="1701" w:type="dxa"/>
            <w:shd w:val="clear" w:color="auto" w:fill="auto"/>
            <w:vAlign w:val="center"/>
          </w:tcPr>
          <w:p w14:paraId="30FD96BC">
            <w:pPr>
              <w:pStyle w:val="180"/>
            </w:pPr>
            <w:r>
              <w:rPr>
                <w:rFonts w:hint="eastAsia"/>
              </w:rPr>
              <w:t>断层粘滑作用</w:t>
            </w:r>
          </w:p>
        </w:tc>
        <w:tc>
          <w:tcPr>
            <w:tcW w:w="992" w:type="dxa"/>
            <w:vMerge w:val="continue"/>
            <w:shd w:val="clear" w:color="auto" w:fill="auto"/>
            <w:vAlign w:val="center"/>
          </w:tcPr>
          <w:p w14:paraId="0B8C6EEF">
            <w:pPr>
              <w:pStyle w:val="180"/>
            </w:pPr>
          </w:p>
        </w:tc>
        <w:tc>
          <w:tcPr>
            <w:tcW w:w="3674" w:type="dxa"/>
            <w:shd w:val="clear" w:color="auto" w:fill="auto"/>
            <w:vAlign w:val="center"/>
          </w:tcPr>
          <w:p w14:paraId="258888FD">
            <w:pPr>
              <w:pStyle w:val="180"/>
            </w:pPr>
            <w:r>
              <w:rPr>
                <w:rFonts w:hint="eastAsia"/>
              </w:rPr>
              <w:t>断层速滑地裂缝（地震地裂缝）</w:t>
            </w:r>
          </w:p>
        </w:tc>
      </w:tr>
      <w:tr w14:paraId="19DAA4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EA37EE7">
            <w:pPr>
              <w:pStyle w:val="180"/>
            </w:pPr>
          </w:p>
        </w:tc>
        <w:tc>
          <w:tcPr>
            <w:tcW w:w="1843" w:type="dxa"/>
            <w:vMerge w:val="continue"/>
            <w:shd w:val="clear" w:color="auto" w:fill="auto"/>
            <w:vAlign w:val="center"/>
          </w:tcPr>
          <w:p w14:paraId="21482EDA">
            <w:pPr>
              <w:pStyle w:val="180"/>
            </w:pPr>
          </w:p>
        </w:tc>
        <w:tc>
          <w:tcPr>
            <w:tcW w:w="1701" w:type="dxa"/>
            <w:shd w:val="clear" w:color="auto" w:fill="auto"/>
            <w:vAlign w:val="center"/>
          </w:tcPr>
          <w:p w14:paraId="693A1DE3">
            <w:pPr>
              <w:pStyle w:val="180"/>
            </w:pPr>
            <w:r>
              <w:rPr>
                <w:rFonts w:hint="eastAsia"/>
              </w:rPr>
              <w:t>构造应力作用</w:t>
            </w:r>
          </w:p>
        </w:tc>
        <w:tc>
          <w:tcPr>
            <w:tcW w:w="4666" w:type="dxa"/>
            <w:gridSpan w:val="2"/>
            <w:shd w:val="clear" w:color="auto" w:fill="auto"/>
            <w:vAlign w:val="center"/>
          </w:tcPr>
          <w:p w14:paraId="75996C3F">
            <w:pPr>
              <w:pStyle w:val="180"/>
            </w:pPr>
            <w:r>
              <w:rPr>
                <w:rFonts w:hint="eastAsia"/>
              </w:rPr>
              <w:t>构造节理开启型地裂缝</w:t>
            </w:r>
          </w:p>
        </w:tc>
      </w:tr>
      <w:tr w14:paraId="3729DC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73E48BE6">
            <w:pPr>
              <w:pStyle w:val="180"/>
            </w:pPr>
          </w:p>
        </w:tc>
        <w:tc>
          <w:tcPr>
            <w:tcW w:w="1843" w:type="dxa"/>
            <w:vMerge w:val="continue"/>
            <w:shd w:val="clear" w:color="auto" w:fill="auto"/>
            <w:vAlign w:val="center"/>
          </w:tcPr>
          <w:p w14:paraId="21D7DD82">
            <w:pPr>
              <w:pStyle w:val="180"/>
            </w:pPr>
          </w:p>
        </w:tc>
        <w:tc>
          <w:tcPr>
            <w:tcW w:w="1701" w:type="dxa"/>
            <w:shd w:val="clear" w:color="auto" w:fill="auto"/>
            <w:vAlign w:val="center"/>
          </w:tcPr>
          <w:p w14:paraId="71598DE1">
            <w:pPr>
              <w:pStyle w:val="180"/>
            </w:pPr>
            <w:r>
              <w:rPr>
                <w:rFonts w:hint="eastAsia"/>
              </w:rPr>
              <w:t>地震动力作用</w:t>
            </w:r>
          </w:p>
        </w:tc>
        <w:tc>
          <w:tcPr>
            <w:tcW w:w="4666" w:type="dxa"/>
            <w:gridSpan w:val="2"/>
            <w:shd w:val="clear" w:color="auto" w:fill="auto"/>
            <w:vAlign w:val="center"/>
          </w:tcPr>
          <w:p w14:paraId="13A4DFC9">
            <w:pPr>
              <w:pStyle w:val="180"/>
            </w:pPr>
            <w:r>
              <w:rPr>
                <w:rFonts w:hint="eastAsia"/>
              </w:rPr>
              <w:t>地震次生地裂缝</w:t>
            </w:r>
          </w:p>
        </w:tc>
      </w:tr>
      <w:tr w14:paraId="4B2402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restart"/>
            <w:shd w:val="clear" w:color="auto" w:fill="auto"/>
            <w:vAlign w:val="center"/>
          </w:tcPr>
          <w:p w14:paraId="5C0FADE0">
            <w:pPr>
              <w:pStyle w:val="180"/>
            </w:pPr>
            <w:r>
              <w:rPr>
                <w:rFonts w:hint="eastAsia"/>
              </w:rPr>
              <w:t>非构造地裂缝</w:t>
            </w:r>
          </w:p>
        </w:tc>
        <w:tc>
          <w:tcPr>
            <w:tcW w:w="1843" w:type="dxa"/>
            <w:vMerge w:val="restart"/>
            <w:shd w:val="clear" w:color="auto" w:fill="auto"/>
            <w:vAlign w:val="center"/>
          </w:tcPr>
          <w:p w14:paraId="608E4DA7">
            <w:pPr>
              <w:pStyle w:val="180"/>
            </w:pPr>
            <w:r>
              <w:rPr>
                <w:rFonts w:hint="eastAsia"/>
              </w:rPr>
              <w:t>自然外营力作用为主</w:t>
            </w:r>
          </w:p>
        </w:tc>
        <w:tc>
          <w:tcPr>
            <w:tcW w:w="1701" w:type="dxa"/>
            <w:shd w:val="clear" w:color="auto" w:fill="auto"/>
            <w:vAlign w:val="center"/>
          </w:tcPr>
          <w:p w14:paraId="4E45F35B">
            <w:pPr>
              <w:pStyle w:val="180"/>
            </w:pPr>
            <w:r>
              <w:rPr>
                <w:rFonts w:hint="eastAsia"/>
              </w:rPr>
              <w:t>土体干缩作用</w:t>
            </w:r>
          </w:p>
        </w:tc>
        <w:tc>
          <w:tcPr>
            <w:tcW w:w="4666" w:type="dxa"/>
            <w:gridSpan w:val="2"/>
            <w:shd w:val="clear" w:color="auto" w:fill="auto"/>
            <w:vAlign w:val="center"/>
          </w:tcPr>
          <w:p w14:paraId="6C95D547">
            <w:pPr>
              <w:pStyle w:val="180"/>
            </w:pPr>
            <w:r>
              <w:rPr>
                <w:rFonts w:hint="eastAsia"/>
              </w:rPr>
              <w:t>干旱地裂缝</w:t>
            </w:r>
          </w:p>
        </w:tc>
      </w:tr>
      <w:tr w14:paraId="1C2BDC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F76213E">
            <w:pPr>
              <w:pStyle w:val="180"/>
            </w:pPr>
          </w:p>
        </w:tc>
        <w:tc>
          <w:tcPr>
            <w:tcW w:w="1843" w:type="dxa"/>
            <w:vMerge w:val="continue"/>
            <w:shd w:val="clear" w:color="auto" w:fill="auto"/>
            <w:vAlign w:val="center"/>
          </w:tcPr>
          <w:p w14:paraId="31E62DE0">
            <w:pPr>
              <w:pStyle w:val="180"/>
            </w:pPr>
          </w:p>
        </w:tc>
        <w:tc>
          <w:tcPr>
            <w:tcW w:w="1701" w:type="dxa"/>
            <w:shd w:val="clear" w:color="auto" w:fill="auto"/>
            <w:vAlign w:val="center"/>
          </w:tcPr>
          <w:p w14:paraId="667AC8DC">
            <w:pPr>
              <w:pStyle w:val="180"/>
            </w:pPr>
            <w:r>
              <w:rPr>
                <w:rFonts w:hint="eastAsia"/>
              </w:rPr>
              <w:t>地表水侵蚀作用</w:t>
            </w:r>
          </w:p>
        </w:tc>
        <w:tc>
          <w:tcPr>
            <w:tcW w:w="4666" w:type="dxa"/>
            <w:gridSpan w:val="2"/>
            <w:shd w:val="clear" w:color="auto" w:fill="auto"/>
            <w:vAlign w:val="center"/>
          </w:tcPr>
          <w:p w14:paraId="0F787BA3">
            <w:pPr>
              <w:pStyle w:val="180"/>
            </w:pPr>
            <w:r>
              <w:rPr>
                <w:rFonts w:hint="eastAsia"/>
              </w:rPr>
              <w:t>侵蚀地裂缝</w:t>
            </w:r>
          </w:p>
        </w:tc>
      </w:tr>
      <w:tr w14:paraId="3CDB20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59AE753F">
            <w:pPr>
              <w:pStyle w:val="180"/>
            </w:pPr>
          </w:p>
        </w:tc>
        <w:tc>
          <w:tcPr>
            <w:tcW w:w="1843" w:type="dxa"/>
            <w:vMerge w:val="continue"/>
            <w:shd w:val="clear" w:color="auto" w:fill="auto"/>
            <w:vAlign w:val="center"/>
          </w:tcPr>
          <w:p w14:paraId="14D4C97B">
            <w:pPr>
              <w:pStyle w:val="180"/>
            </w:pPr>
          </w:p>
        </w:tc>
        <w:tc>
          <w:tcPr>
            <w:tcW w:w="1701" w:type="dxa"/>
            <w:shd w:val="clear" w:color="auto" w:fill="auto"/>
            <w:vAlign w:val="center"/>
          </w:tcPr>
          <w:p w14:paraId="4242341F">
            <w:pPr>
              <w:pStyle w:val="180"/>
            </w:pPr>
            <w:r>
              <w:rPr>
                <w:rFonts w:hint="eastAsia"/>
              </w:rPr>
              <w:t>地下水潜蚀作用</w:t>
            </w:r>
          </w:p>
        </w:tc>
        <w:tc>
          <w:tcPr>
            <w:tcW w:w="4666" w:type="dxa"/>
            <w:gridSpan w:val="2"/>
            <w:shd w:val="clear" w:color="auto" w:fill="auto"/>
            <w:vAlign w:val="center"/>
          </w:tcPr>
          <w:p w14:paraId="00D66B32">
            <w:pPr>
              <w:pStyle w:val="180"/>
            </w:pPr>
            <w:r>
              <w:rPr>
                <w:rFonts w:hint="eastAsia"/>
              </w:rPr>
              <w:t>潜蚀地裂缝</w:t>
            </w:r>
          </w:p>
        </w:tc>
      </w:tr>
      <w:tr w14:paraId="6BD8FF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D6D3A7B">
            <w:pPr>
              <w:pStyle w:val="180"/>
            </w:pPr>
          </w:p>
        </w:tc>
        <w:tc>
          <w:tcPr>
            <w:tcW w:w="1843" w:type="dxa"/>
            <w:vMerge w:val="restart"/>
            <w:shd w:val="clear" w:color="auto" w:fill="auto"/>
            <w:vAlign w:val="center"/>
          </w:tcPr>
          <w:p w14:paraId="22695C79">
            <w:pPr>
              <w:pStyle w:val="180"/>
            </w:pPr>
            <w:r>
              <w:rPr>
                <w:rFonts w:hint="eastAsia"/>
              </w:rPr>
              <w:t>人类活动作用为主</w:t>
            </w:r>
          </w:p>
        </w:tc>
        <w:tc>
          <w:tcPr>
            <w:tcW w:w="1701" w:type="dxa"/>
            <w:vMerge w:val="restart"/>
            <w:shd w:val="clear" w:color="auto" w:fill="auto"/>
            <w:vAlign w:val="center"/>
          </w:tcPr>
          <w:p w14:paraId="3F0D54FD">
            <w:pPr>
              <w:pStyle w:val="180"/>
            </w:pPr>
            <w:r>
              <w:rPr>
                <w:rFonts w:hint="eastAsia"/>
              </w:rPr>
              <w:t>地下流体抽汲作用</w:t>
            </w:r>
          </w:p>
        </w:tc>
        <w:tc>
          <w:tcPr>
            <w:tcW w:w="992" w:type="dxa"/>
            <w:vMerge w:val="restart"/>
            <w:shd w:val="clear" w:color="auto" w:fill="auto"/>
            <w:vAlign w:val="center"/>
          </w:tcPr>
          <w:p w14:paraId="7D824F3D">
            <w:pPr>
              <w:pStyle w:val="180"/>
            </w:pPr>
            <w:r>
              <w:rPr>
                <w:rFonts w:hint="eastAsia"/>
              </w:rPr>
              <w:t>地面沉降型</w:t>
            </w:r>
          </w:p>
        </w:tc>
        <w:tc>
          <w:tcPr>
            <w:tcW w:w="3674" w:type="dxa"/>
            <w:shd w:val="clear" w:color="auto" w:fill="auto"/>
            <w:vAlign w:val="center"/>
          </w:tcPr>
          <w:p w14:paraId="0B26D57E">
            <w:pPr>
              <w:pStyle w:val="180"/>
            </w:pPr>
            <w:r>
              <w:rPr>
                <w:rFonts w:hint="eastAsia"/>
              </w:rPr>
              <w:t>基岩潜山型地裂缝</w:t>
            </w:r>
          </w:p>
        </w:tc>
      </w:tr>
      <w:tr w14:paraId="064527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7EDBB65D">
            <w:pPr>
              <w:pStyle w:val="180"/>
            </w:pPr>
          </w:p>
        </w:tc>
        <w:tc>
          <w:tcPr>
            <w:tcW w:w="1843" w:type="dxa"/>
            <w:vMerge w:val="continue"/>
            <w:shd w:val="clear" w:color="auto" w:fill="auto"/>
            <w:vAlign w:val="center"/>
          </w:tcPr>
          <w:p w14:paraId="4DF01747">
            <w:pPr>
              <w:pStyle w:val="180"/>
            </w:pPr>
          </w:p>
        </w:tc>
        <w:tc>
          <w:tcPr>
            <w:tcW w:w="1701" w:type="dxa"/>
            <w:vMerge w:val="continue"/>
            <w:shd w:val="clear" w:color="auto" w:fill="auto"/>
            <w:vAlign w:val="center"/>
          </w:tcPr>
          <w:p w14:paraId="0EB9E4A0">
            <w:pPr>
              <w:pStyle w:val="180"/>
            </w:pPr>
          </w:p>
        </w:tc>
        <w:tc>
          <w:tcPr>
            <w:tcW w:w="992" w:type="dxa"/>
            <w:vMerge w:val="continue"/>
            <w:shd w:val="clear" w:color="auto" w:fill="auto"/>
            <w:vAlign w:val="center"/>
          </w:tcPr>
          <w:p w14:paraId="0C847BD6">
            <w:pPr>
              <w:pStyle w:val="180"/>
            </w:pPr>
          </w:p>
        </w:tc>
        <w:tc>
          <w:tcPr>
            <w:tcW w:w="3674" w:type="dxa"/>
            <w:shd w:val="clear" w:color="auto" w:fill="auto"/>
            <w:vAlign w:val="center"/>
          </w:tcPr>
          <w:p w14:paraId="518F6C93">
            <w:pPr>
              <w:pStyle w:val="180"/>
            </w:pPr>
            <w:r>
              <w:rPr>
                <w:rFonts w:hint="eastAsia"/>
              </w:rPr>
              <w:t>埋藏阶地型地裂缝</w:t>
            </w:r>
          </w:p>
        </w:tc>
      </w:tr>
      <w:tr w14:paraId="7B5317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25FDF3FF">
            <w:pPr>
              <w:pStyle w:val="180"/>
            </w:pPr>
          </w:p>
        </w:tc>
        <w:tc>
          <w:tcPr>
            <w:tcW w:w="1843" w:type="dxa"/>
            <w:vMerge w:val="continue"/>
            <w:shd w:val="clear" w:color="auto" w:fill="auto"/>
            <w:vAlign w:val="center"/>
          </w:tcPr>
          <w:p w14:paraId="1A864C04">
            <w:pPr>
              <w:pStyle w:val="180"/>
            </w:pPr>
          </w:p>
        </w:tc>
        <w:tc>
          <w:tcPr>
            <w:tcW w:w="1701" w:type="dxa"/>
            <w:vMerge w:val="continue"/>
            <w:shd w:val="clear" w:color="auto" w:fill="auto"/>
            <w:vAlign w:val="center"/>
          </w:tcPr>
          <w:p w14:paraId="2D1EE8C8">
            <w:pPr>
              <w:pStyle w:val="180"/>
            </w:pPr>
          </w:p>
        </w:tc>
        <w:tc>
          <w:tcPr>
            <w:tcW w:w="992" w:type="dxa"/>
            <w:vMerge w:val="continue"/>
            <w:shd w:val="clear" w:color="auto" w:fill="auto"/>
            <w:vAlign w:val="center"/>
          </w:tcPr>
          <w:p w14:paraId="15D50465">
            <w:pPr>
              <w:pStyle w:val="180"/>
            </w:pPr>
          </w:p>
        </w:tc>
        <w:tc>
          <w:tcPr>
            <w:tcW w:w="3674" w:type="dxa"/>
            <w:shd w:val="clear" w:color="auto" w:fill="auto"/>
            <w:vAlign w:val="center"/>
          </w:tcPr>
          <w:p w14:paraId="281651F6">
            <w:pPr>
              <w:pStyle w:val="180"/>
            </w:pPr>
            <w:r>
              <w:rPr>
                <w:rFonts w:hint="eastAsia"/>
              </w:rPr>
              <w:t>地下水综合开采型地裂缝</w:t>
            </w:r>
          </w:p>
        </w:tc>
      </w:tr>
      <w:tr w14:paraId="02269F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124" w:type="dxa"/>
            <w:vMerge w:val="continue"/>
            <w:shd w:val="clear" w:color="auto" w:fill="auto"/>
            <w:vAlign w:val="center"/>
          </w:tcPr>
          <w:p w14:paraId="3DC68C44">
            <w:pPr>
              <w:pStyle w:val="180"/>
            </w:pPr>
          </w:p>
        </w:tc>
        <w:tc>
          <w:tcPr>
            <w:tcW w:w="1843" w:type="dxa"/>
            <w:vMerge w:val="continue"/>
            <w:shd w:val="clear" w:color="auto" w:fill="auto"/>
            <w:vAlign w:val="center"/>
          </w:tcPr>
          <w:p w14:paraId="04FFDB9B">
            <w:pPr>
              <w:pStyle w:val="180"/>
            </w:pPr>
          </w:p>
        </w:tc>
        <w:tc>
          <w:tcPr>
            <w:tcW w:w="1701" w:type="dxa"/>
            <w:vMerge w:val="continue"/>
            <w:shd w:val="clear" w:color="auto" w:fill="auto"/>
            <w:vAlign w:val="center"/>
          </w:tcPr>
          <w:p w14:paraId="6698870C">
            <w:pPr>
              <w:pStyle w:val="180"/>
            </w:pPr>
          </w:p>
        </w:tc>
        <w:tc>
          <w:tcPr>
            <w:tcW w:w="992" w:type="dxa"/>
            <w:vMerge w:val="continue"/>
            <w:shd w:val="clear" w:color="auto" w:fill="auto"/>
            <w:vAlign w:val="center"/>
          </w:tcPr>
          <w:p w14:paraId="0481CAFA">
            <w:pPr>
              <w:pStyle w:val="180"/>
            </w:pPr>
          </w:p>
        </w:tc>
        <w:tc>
          <w:tcPr>
            <w:tcW w:w="3674" w:type="dxa"/>
            <w:shd w:val="clear" w:color="auto" w:fill="auto"/>
            <w:vAlign w:val="center"/>
          </w:tcPr>
          <w:p w14:paraId="025496B7">
            <w:pPr>
              <w:pStyle w:val="180"/>
            </w:pPr>
            <w:r>
              <w:rPr>
                <w:rFonts w:hint="eastAsia"/>
              </w:rPr>
              <w:t>石油（天然气等）开采型地裂缝</w:t>
            </w:r>
          </w:p>
        </w:tc>
      </w:tr>
    </w:tbl>
    <w:p w14:paraId="4590FAC3">
      <w:pPr>
        <w:pStyle w:val="79"/>
        <w:spacing w:before="156" w:after="156"/>
      </w:pPr>
      <w:r>
        <w:rPr>
          <w:rFonts w:hint="eastAsia" w:ascii="Times New Roman"/>
          <w:szCs w:val="21"/>
        </w:rPr>
        <w:t>地裂缝其它因素分类表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266"/>
        <w:gridCol w:w="1701"/>
        <w:gridCol w:w="6367"/>
      </w:tblGrid>
      <w:tr w14:paraId="6A189F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266" w:type="dxa"/>
            <w:tcBorders>
              <w:top w:val="single" w:color="auto" w:sz="8" w:space="0"/>
              <w:bottom w:val="single" w:color="auto" w:sz="8" w:space="0"/>
            </w:tcBorders>
            <w:shd w:val="clear" w:color="auto" w:fill="auto"/>
            <w:vAlign w:val="center"/>
          </w:tcPr>
          <w:p w14:paraId="532D1324">
            <w:pPr>
              <w:pStyle w:val="180"/>
            </w:pPr>
            <w:r>
              <w:rPr>
                <w:rFonts w:hint="eastAsia"/>
              </w:rPr>
              <w:t>有关因素</w:t>
            </w:r>
          </w:p>
        </w:tc>
        <w:tc>
          <w:tcPr>
            <w:tcW w:w="1701" w:type="dxa"/>
            <w:tcBorders>
              <w:top w:val="single" w:color="auto" w:sz="8" w:space="0"/>
              <w:bottom w:val="single" w:color="auto" w:sz="8" w:space="0"/>
            </w:tcBorders>
            <w:shd w:val="clear" w:color="auto" w:fill="auto"/>
            <w:vAlign w:val="center"/>
          </w:tcPr>
          <w:p w14:paraId="034430F0">
            <w:pPr>
              <w:pStyle w:val="180"/>
            </w:pPr>
            <w:r>
              <w:rPr>
                <w:rFonts w:hint="eastAsia"/>
              </w:rPr>
              <w:t>名称类别</w:t>
            </w:r>
          </w:p>
        </w:tc>
        <w:tc>
          <w:tcPr>
            <w:tcW w:w="6367" w:type="dxa"/>
            <w:tcBorders>
              <w:top w:val="single" w:color="auto" w:sz="8" w:space="0"/>
              <w:bottom w:val="single" w:color="auto" w:sz="8" w:space="0"/>
            </w:tcBorders>
            <w:shd w:val="clear" w:color="auto" w:fill="auto"/>
            <w:vAlign w:val="center"/>
          </w:tcPr>
          <w:p w14:paraId="6A160708">
            <w:pPr>
              <w:pStyle w:val="180"/>
            </w:pPr>
            <w:r>
              <w:rPr>
                <w:rFonts w:hint="eastAsia"/>
              </w:rPr>
              <w:t>特 征 说 明</w:t>
            </w:r>
          </w:p>
        </w:tc>
      </w:tr>
      <w:tr w14:paraId="74CF31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tcBorders>
              <w:top w:val="single" w:color="auto" w:sz="8" w:space="0"/>
            </w:tcBorders>
            <w:shd w:val="clear" w:color="auto" w:fill="auto"/>
            <w:vAlign w:val="center"/>
          </w:tcPr>
          <w:p w14:paraId="4DA4B600">
            <w:pPr>
              <w:pStyle w:val="180"/>
            </w:pPr>
            <w:r>
              <w:rPr>
                <w:rFonts w:hint="eastAsia"/>
              </w:rPr>
              <w:t>延伸长度L</w:t>
            </w:r>
          </w:p>
        </w:tc>
        <w:tc>
          <w:tcPr>
            <w:tcW w:w="1701" w:type="dxa"/>
            <w:tcBorders>
              <w:top w:val="single" w:color="auto" w:sz="8" w:space="0"/>
            </w:tcBorders>
            <w:shd w:val="clear" w:color="auto" w:fill="auto"/>
            <w:vAlign w:val="center"/>
          </w:tcPr>
          <w:p w14:paraId="42E6F418">
            <w:pPr>
              <w:pStyle w:val="180"/>
            </w:pPr>
            <w:r>
              <w:rPr>
                <w:rFonts w:hint="eastAsia"/>
              </w:rPr>
              <w:t>巨型地裂缝</w:t>
            </w:r>
          </w:p>
        </w:tc>
        <w:tc>
          <w:tcPr>
            <w:tcW w:w="6367" w:type="dxa"/>
            <w:tcBorders>
              <w:top w:val="single" w:color="auto" w:sz="8" w:space="0"/>
            </w:tcBorders>
            <w:shd w:val="clear" w:color="auto" w:fill="auto"/>
            <w:vAlign w:val="center"/>
          </w:tcPr>
          <w:p w14:paraId="312F0B3F">
            <w:pPr>
              <w:pStyle w:val="180"/>
            </w:pPr>
            <w:r>
              <w:rPr>
                <w:rFonts w:hint="eastAsia"/>
              </w:rPr>
              <w:t>L≥10 000m</w:t>
            </w:r>
          </w:p>
        </w:tc>
      </w:tr>
      <w:tr w14:paraId="46F238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4B9D60A9">
            <w:pPr>
              <w:pStyle w:val="180"/>
            </w:pPr>
          </w:p>
        </w:tc>
        <w:tc>
          <w:tcPr>
            <w:tcW w:w="1701" w:type="dxa"/>
            <w:shd w:val="clear" w:color="auto" w:fill="auto"/>
            <w:vAlign w:val="center"/>
          </w:tcPr>
          <w:p w14:paraId="6F9215EC">
            <w:pPr>
              <w:pStyle w:val="180"/>
            </w:pPr>
            <w:r>
              <w:rPr>
                <w:rFonts w:hint="eastAsia"/>
              </w:rPr>
              <w:t>大型地裂缝</w:t>
            </w:r>
          </w:p>
        </w:tc>
        <w:tc>
          <w:tcPr>
            <w:tcW w:w="6367" w:type="dxa"/>
            <w:shd w:val="clear" w:color="auto" w:fill="auto"/>
            <w:vAlign w:val="center"/>
          </w:tcPr>
          <w:p w14:paraId="525FF977">
            <w:pPr>
              <w:pStyle w:val="180"/>
            </w:pPr>
            <w:r>
              <w:rPr>
                <w:rFonts w:hint="eastAsia"/>
              </w:rPr>
              <w:t>1 000m≤L＜10 000m</w:t>
            </w:r>
          </w:p>
        </w:tc>
      </w:tr>
      <w:tr w14:paraId="3EABD3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556C7509">
            <w:pPr>
              <w:pStyle w:val="180"/>
            </w:pPr>
          </w:p>
        </w:tc>
        <w:tc>
          <w:tcPr>
            <w:tcW w:w="1701" w:type="dxa"/>
            <w:shd w:val="clear" w:color="auto" w:fill="auto"/>
            <w:vAlign w:val="center"/>
          </w:tcPr>
          <w:p w14:paraId="3CD2AB44">
            <w:pPr>
              <w:pStyle w:val="180"/>
            </w:pPr>
            <w:r>
              <w:rPr>
                <w:rFonts w:hint="eastAsia"/>
              </w:rPr>
              <w:t>中型地裂缝</w:t>
            </w:r>
          </w:p>
        </w:tc>
        <w:tc>
          <w:tcPr>
            <w:tcW w:w="6367" w:type="dxa"/>
            <w:shd w:val="clear" w:color="auto" w:fill="auto"/>
            <w:vAlign w:val="center"/>
          </w:tcPr>
          <w:p w14:paraId="7901371A">
            <w:pPr>
              <w:pStyle w:val="180"/>
            </w:pPr>
            <w:r>
              <w:rPr>
                <w:rFonts w:hint="eastAsia"/>
              </w:rPr>
              <w:t>1 00m≤L＜1 000m</w:t>
            </w:r>
          </w:p>
        </w:tc>
      </w:tr>
      <w:tr w14:paraId="79051C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0E7A84B">
            <w:pPr>
              <w:pStyle w:val="180"/>
            </w:pPr>
          </w:p>
        </w:tc>
        <w:tc>
          <w:tcPr>
            <w:tcW w:w="1701" w:type="dxa"/>
            <w:shd w:val="clear" w:color="auto" w:fill="auto"/>
            <w:vAlign w:val="center"/>
          </w:tcPr>
          <w:p w14:paraId="323037E3">
            <w:pPr>
              <w:pStyle w:val="180"/>
            </w:pPr>
            <w:r>
              <w:rPr>
                <w:rFonts w:hint="eastAsia"/>
              </w:rPr>
              <w:t>小型地裂缝</w:t>
            </w:r>
          </w:p>
        </w:tc>
        <w:tc>
          <w:tcPr>
            <w:tcW w:w="6367" w:type="dxa"/>
            <w:shd w:val="clear" w:color="auto" w:fill="auto"/>
            <w:vAlign w:val="center"/>
          </w:tcPr>
          <w:p w14:paraId="7EDCD5DB">
            <w:pPr>
              <w:pStyle w:val="180"/>
            </w:pPr>
            <w:r>
              <w:rPr>
                <w:rFonts w:hint="eastAsia"/>
              </w:rPr>
              <w:t>L＜100m</w:t>
            </w:r>
          </w:p>
        </w:tc>
      </w:tr>
      <w:tr w14:paraId="6C50CE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5434BA25">
            <w:pPr>
              <w:pStyle w:val="180"/>
            </w:pPr>
            <w:r>
              <w:rPr>
                <w:rFonts w:hint="eastAsia"/>
              </w:rPr>
              <w:t>力学性质</w:t>
            </w:r>
          </w:p>
        </w:tc>
        <w:tc>
          <w:tcPr>
            <w:tcW w:w="1701" w:type="dxa"/>
            <w:shd w:val="clear" w:color="auto" w:fill="auto"/>
            <w:vAlign w:val="center"/>
          </w:tcPr>
          <w:p w14:paraId="05D600E0">
            <w:pPr>
              <w:pStyle w:val="180"/>
            </w:pPr>
            <w:r>
              <w:rPr>
                <w:rFonts w:hint="eastAsia"/>
              </w:rPr>
              <w:t>剪切地裂缝</w:t>
            </w:r>
          </w:p>
        </w:tc>
        <w:tc>
          <w:tcPr>
            <w:tcW w:w="6367" w:type="dxa"/>
            <w:shd w:val="clear" w:color="auto" w:fill="auto"/>
            <w:vAlign w:val="center"/>
          </w:tcPr>
          <w:p w14:paraId="7DEC4645">
            <w:pPr>
              <w:pStyle w:val="180"/>
              <w:jc w:val="left"/>
            </w:pPr>
            <w:r>
              <w:rPr>
                <w:rFonts w:hint="eastAsia"/>
              </w:rPr>
              <w:t>由剪应力产生的地裂缝，沿走向和倾向延伸远，产状稳定，个别有剪切滑动的擦线、擦迹，有的组成共轭的X型地裂缝系</w:t>
            </w:r>
          </w:p>
        </w:tc>
      </w:tr>
      <w:tr w14:paraId="6B005C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730B6A08">
            <w:pPr>
              <w:pStyle w:val="180"/>
            </w:pPr>
          </w:p>
        </w:tc>
        <w:tc>
          <w:tcPr>
            <w:tcW w:w="1701" w:type="dxa"/>
            <w:shd w:val="clear" w:color="auto" w:fill="auto"/>
            <w:vAlign w:val="center"/>
          </w:tcPr>
          <w:p w14:paraId="17EFB7A9">
            <w:pPr>
              <w:pStyle w:val="180"/>
            </w:pPr>
            <w:r>
              <w:rPr>
                <w:rFonts w:hint="eastAsia"/>
              </w:rPr>
              <w:t>张性地裂缝</w:t>
            </w:r>
          </w:p>
        </w:tc>
        <w:tc>
          <w:tcPr>
            <w:tcW w:w="6367" w:type="dxa"/>
            <w:shd w:val="clear" w:color="auto" w:fill="auto"/>
            <w:vAlign w:val="center"/>
          </w:tcPr>
          <w:p w14:paraId="62658085">
            <w:pPr>
              <w:pStyle w:val="180"/>
              <w:jc w:val="left"/>
            </w:pPr>
            <w:r>
              <w:rPr>
                <w:rFonts w:hint="eastAsia"/>
              </w:rPr>
              <w:t>由张应力产生的地裂缝，沿走向和倾向延伸不远，产状不稳定，常断续出现，裂面凹凸不平，粗糙无擦痕，裂缝多开口</w:t>
            </w:r>
          </w:p>
        </w:tc>
      </w:tr>
      <w:tr w14:paraId="3C5CAA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07D6B5EF">
            <w:pPr>
              <w:pStyle w:val="180"/>
            </w:pPr>
          </w:p>
        </w:tc>
        <w:tc>
          <w:tcPr>
            <w:tcW w:w="1701" w:type="dxa"/>
            <w:shd w:val="clear" w:color="auto" w:fill="auto"/>
            <w:vAlign w:val="center"/>
          </w:tcPr>
          <w:p w14:paraId="530E5961">
            <w:pPr>
              <w:pStyle w:val="180"/>
            </w:pPr>
            <w:r>
              <w:rPr>
                <w:rFonts w:hint="eastAsia"/>
              </w:rPr>
              <w:t>压性地裂缝</w:t>
            </w:r>
          </w:p>
        </w:tc>
        <w:tc>
          <w:tcPr>
            <w:tcW w:w="6367" w:type="dxa"/>
            <w:shd w:val="clear" w:color="auto" w:fill="auto"/>
            <w:vAlign w:val="center"/>
          </w:tcPr>
          <w:p w14:paraId="6887C9FC">
            <w:pPr>
              <w:pStyle w:val="180"/>
              <w:jc w:val="left"/>
            </w:pPr>
            <w:r>
              <w:rPr>
                <w:rFonts w:hint="eastAsia"/>
              </w:rPr>
              <w:t>由压应力产生的地裂缝，产状不稳定，沿走向、倾向有较大变化，呈波状起伏；裂缝面上常有较多擦痕、阶步、磨光面等</w:t>
            </w:r>
          </w:p>
        </w:tc>
      </w:tr>
      <w:tr w14:paraId="174086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49F3B472">
            <w:pPr>
              <w:pStyle w:val="180"/>
            </w:pPr>
          </w:p>
        </w:tc>
        <w:tc>
          <w:tcPr>
            <w:tcW w:w="1701" w:type="dxa"/>
            <w:shd w:val="clear" w:color="auto" w:fill="auto"/>
            <w:vAlign w:val="center"/>
          </w:tcPr>
          <w:p w14:paraId="255E5474">
            <w:pPr>
              <w:pStyle w:val="180"/>
            </w:pPr>
            <w:r>
              <w:rPr>
                <w:rFonts w:hint="eastAsia"/>
              </w:rPr>
              <w:t>张剪性地裂缝</w:t>
            </w:r>
          </w:p>
        </w:tc>
        <w:tc>
          <w:tcPr>
            <w:tcW w:w="6367" w:type="dxa"/>
            <w:shd w:val="clear" w:color="auto" w:fill="auto"/>
            <w:vAlign w:val="center"/>
          </w:tcPr>
          <w:p w14:paraId="2EDAB438">
            <w:pPr>
              <w:pStyle w:val="180"/>
              <w:jc w:val="left"/>
            </w:pPr>
            <w:r>
              <w:rPr>
                <w:rFonts w:hint="eastAsia"/>
              </w:rPr>
              <w:t>兼具张性地裂缝和剪切地裂缝的特征或过渡特征</w:t>
            </w:r>
          </w:p>
        </w:tc>
      </w:tr>
      <w:tr w14:paraId="33BEFC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2167A71E">
            <w:pPr>
              <w:pStyle w:val="180"/>
            </w:pPr>
          </w:p>
        </w:tc>
        <w:tc>
          <w:tcPr>
            <w:tcW w:w="1701" w:type="dxa"/>
            <w:shd w:val="clear" w:color="auto" w:fill="auto"/>
            <w:vAlign w:val="center"/>
          </w:tcPr>
          <w:p w14:paraId="2082E3AC">
            <w:pPr>
              <w:pStyle w:val="180"/>
            </w:pPr>
            <w:r>
              <w:rPr>
                <w:rFonts w:hint="eastAsia"/>
              </w:rPr>
              <w:t>压剪性地裂缝</w:t>
            </w:r>
          </w:p>
        </w:tc>
        <w:tc>
          <w:tcPr>
            <w:tcW w:w="6367" w:type="dxa"/>
            <w:shd w:val="clear" w:color="auto" w:fill="auto"/>
            <w:vAlign w:val="center"/>
          </w:tcPr>
          <w:p w14:paraId="5864F2AF">
            <w:pPr>
              <w:pStyle w:val="180"/>
              <w:jc w:val="left"/>
            </w:pPr>
            <w:r>
              <w:rPr>
                <w:rFonts w:hint="eastAsia"/>
              </w:rPr>
              <w:t>兼具压性地裂缝和剪切地裂缝的特征或过渡特征</w:t>
            </w:r>
          </w:p>
        </w:tc>
      </w:tr>
      <w:tr w14:paraId="1227B3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40D8DF82">
            <w:pPr>
              <w:pStyle w:val="180"/>
            </w:pPr>
            <w:r>
              <w:rPr>
                <w:rFonts w:hint="eastAsia"/>
              </w:rPr>
              <w:t>张开程度D</w:t>
            </w:r>
          </w:p>
        </w:tc>
        <w:tc>
          <w:tcPr>
            <w:tcW w:w="1701" w:type="dxa"/>
            <w:shd w:val="clear" w:color="auto" w:fill="auto"/>
            <w:vAlign w:val="center"/>
          </w:tcPr>
          <w:p w14:paraId="5B035511">
            <w:pPr>
              <w:pStyle w:val="180"/>
            </w:pPr>
            <w:r>
              <w:rPr>
                <w:rFonts w:hint="eastAsia"/>
              </w:rPr>
              <w:t>极宽地裂缝</w:t>
            </w:r>
          </w:p>
        </w:tc>
        <w:tc>
          <w:tcPr>
            <w:tcW w:w="6367" w:type="dxa"/>
            <w:shd w:val="clear" w:color="auto" w:fill="auto"/>
            <w:vAlign w:val="center"/>
          </w:tcPr>
          <w:p w14:paraId="29E35B06">
            <w:pPr>
              <w:pStyle w:val="180"/>
            </w:pPr>
            <w:r>
              <w:rPr>
                <w:rFonts w:hint="eastAsia"/>
              </w:rPr>
              <w:t>D≥1000mm</w:t>
            </w:r>
          </w:p>
        </w:tc>
      </w:tr>
      <w:tr w14:paraId="584B6B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1821B3D3">
            <w:pPr>
              <w:pStyle w:val="180"/>
            </w:pPr>
          </w:p>
        </w:tc>
        <w:tc>
          <w:tcPr>
            <w:tcW w:w="1701" w:type="dxa"/>
            <w:shd w:val="clear" w:color="auto" w:fill="auto"/>
            <w:vAlign w:val="center"/>
          </w:tcPr>
          <w:p w14:paraId="5FFC64D1">
            <w:pPr>
              <w:pStyle w:val="180"/>
            </w:pPr>
            <w:r>
              <w:rPr>
                <w:rFonts w:hint="eastAsia"/>
              </w:rPr>
              <w:t>很宽地裂缝</w:t>
            </w:r>
          </w:p>
        </w:tc>
        <w:tc>
          <w:tcPr>
            <w:tcW w:w="6367" w:type="dxa"/>
            <w:shd w:val="clear" w:color="auto" w:fill="auto"/>
            <w:vAlign w:val="center"/>
          </w:tcPr>
          <w:p w14:paraId="70B4847C">
            <w:pPr>
              <w:pStyle w:val="180"/>
            </w:pPr>
            <w:r>
              <w:rPr>
                <w:rFonts w:hint="eastAsia"/>
              </w:rPr>
              <w:t>250mm≤D＜1000mm</w:t>
            </w:r>
          </w:p>
        </w:tc>
      </w:tr>
      <w:tr w14:paraId="31F8F4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070A0F3">
            <w:pPr>
              <w:pStyle w:val="180"/>
            </w:pPr>
          </w:p>
        </w:tc>
        <w:tc>
          <w:tcPr>
            <w:tcW w:w="1701" w:type="dxa"/>
            <w:shd w:val="clear" w:color="auto" w:fill="auto"/>
            <w:vAlign w:val="center"/>
          </w:tcPr>
          <w:p w14:paraId="5BDB7712">
            <w:pPr>
              <w:pStyle w:val="180"/>
            </w:pPr>
            <w:r>
              <w:rPr>
                <w:rFonts w:hint="eastAsia"/>
              </w:rPr>
              <w:t>宽地裂缝</w:t>
            </w:r>
          </w:p>
        </w:tc>
        <w:tc>
          <w:tcPr>
            <w:tcW w:w="6367" w:type="dxa"/>
            <w:shd w:val="clear" w:color="auto" w:fill="auto"/>
            <w:vAlign w:val="center"/>
          </w:tcPr>
          <w:p w14:paraId="0D73E3DB">
            <w:pPr>
              <w:pStyle w:val="180"/>
            </w:pPr>
            <w:r>
              <w:rPr>
                <w:rFonts w:hint="eastAsia"/>
              </w:rPr>
              <w:t>25mm≤D＜250mm</w:t>
            </w:r>
          </w:p>
        </w:tc>
      </w:tr>
      <w:tr w14:paraId="74B016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36D2E37D">
            <w:pPr>
              <w:pStyle w:val="180"/>
            </w:pPr>
          </w:p>
        </w:tc>
        <w:tc>
          <w:tcPr>
            <w:tcW w:w="1701" w:type="dxa"/>
            <w:shd w:val="clear" w:color="auto" w:fill="auto"/>
            <w:vAlign w:val="center"/>
          </w:tcPr>
          <w:p w14:paraId="536DF58C">
            <w:pPr>
              <w:pStyle w:val="180"/>
            </w:pPr>
            <w:r>
              <w:rPr>
                <w:rFonts w:hint="eastAsia"/>
              </w:rPr>
              <w:t>张开地裂缝</w:t>
            </w:r>
          </w:p>
        </w:tc>
        <w:tc>
          <w:tcPr>
            <w:tcW w:w="6367" w:type="dxa"/>
            <w:shd w:val="clear" w:color="auto" w:fill="auto"/>
            <w:vAlign w:val="center"/>
          </w:tcPr>
          <w:p w14:paraId="3C71CC1C">
            <w:pPr>
              <w:pStyle w:val="180"/>
            </w:pPr>
            <w:r>
              <w:rPr>
                <w:rFonts w:hint="eastAsia"/>
              </w:rPr>
              <w:t>0.25mm≤D＜25mm</w:t>
            </w:r>
          </w:p>
        </w:tc>
      </w:tr>
      <w:tr w14:paraId="270F38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1FA71502">
            <w:pPr>
              <w:pStyle w:val="180"/>
            </w:pPr>
          </w:p>
        </w:tc>
        <w:tc>
          <w:tcPr>
            <w:tcW w:w="1701" w:type="dxa"/>
            <w:shd w:val="clear" w:color="auto" w:fill="auto"/>
            <w:vAlign w:val="center"/>
          </w:tcPr>
          <w:p w14:paraId="67DDA865">
            <w:pPr>
              <w:pStyle w:val="180"/>
            </w:pPr>
            <w:r>
              <w:rPr>
                <w:rFonts w:hint="eastAsia"/>
              </w:rPr>
              <w:t>裂开地裂缝</w:t>
            </w:r>
          </w:p>
        </w:tc>
        <w:tc>
          <w:tcPr>
            <w:tcW w:w="6367" w:type="dxa"/>
            <w:shd w:val="clear" w:color="auto" w:fill="auto"/>
            <w:vAlign w:val="center"/>
          </w:tcPr>
          <w:p w14:paraId="3D920D26">
            <w:pPr>
              <w:pStyle w:val="180"/>
            </w:pPr>
            <w:r>
              <w:rPr>
                <w:rFonts w:hint="eastAsia"/>
              </w:rPr>
              <w:t>D＜0.25mm</w:t>
            </w:r>
          </w:p>
        </w:tc>
      </w:tr>
      <w:tr w14:paraId="4A632E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56254025">
            <w:pPr>
              <w:pStyle w:val="180"/>
            </w:pPr>
            <w:r>
              <w:rPr>
                <w:rFonts w:hint="eastAsia"/>
              </w:rPr>
              <w:t>主次关系</w:t>
            </w:r>
          </w:p>
        </w:tc>
        <w:tc>
          <w:tcPr>
            <w:tcW w:w="1701" w:type="dxa"/>
            <w:shd w:val="clear" w:color="auto" w:fill="auto"/>
            <w:vAlign w:val="center"/>
          </w:tcPr>
          <w:p w14:paraId="6E1ABF21">
            <w:pPr>
              <w:pStyle w:val="180"/>
            </w:pPr>
            <w:r>
              <w:rPr>
                <w:rFonts w:hint="eastAsia"/>
              </w:rPr>
              <w:t>主裂缝</w:t>
            </w:r>
          </w:p>
        </w:tc>
        <w:tc>
          <w:tcPr>
            <w:tcW w:w="6367" w:type="dxa"/>
            <w:shd w:val="clear" w:color="auto" w:fill="auto"/>
            <w:vAlign w:val="center"/>
          </w:tcPr>
          <w:p w14:paraId="13234037">
            <w:pPr>
              <w:pStyle w:val="180"/>
            </w:pPr>
            <w:r>
              <w:rPr>
                <w:rFonts w:hint="eastAsia"/>
              </w:rPr>
              <w:t>在地裂缝主变形区内，规模大，延伸远，影响深</w:t>
            </w:r>
          </w:p>
        </w:tc>
      </w:tr>
      <w:tr w14:paraId="6DB0BC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99394CC">
            <w:pPr>
              <w:pStyle w:val="180"/>
            </w:pPr>
          </w:p>
        </w:tc>
        <w:tc>
          <w:tcPr>
            <w:tcW w:w="1701" w:type="dxa"/>
            <w:shd w:val="clear" w:color="auto" w:fill="auto"/>
            <w:vAlign w:val="center"/>
          </w:tcPr>
          <w:p w14:paraId="5DC0412E">
            <w:pPr>
              <w:pStyle w:val="180"/>
            </w:pPr>
            <w:r>
              <w:rPr>
                <w:rFonts w:hint="eastAsia"/>
              </w:rPr>
              <w:t>分支裂缝</w:t>
            </w:r>
          </w:p>
        </w:tc>
        <w:tc>
          <w:tcPr>
            <w:tcW w:w="6367" w:type="dxa"/>
            <w:shd w:val="clear" w:color="auto" w:fill="auto"/>
            <w:vAlign w:val="center"/>
          </w:tcPr>
          <w:p w14:paraId="33917135">
            <w:pPr>
              <w:pStyle w:val="180"/>
            </w:pPr>
            <w:r>
              <w:rPr>
                <w:rFonts w:hint="eastAsia"/>
              </w:rPr>
              <w:t>由主地裂缝派生，且在剖面上与主地裂缝相交，规模和活动程度相对较小</w:t>
            </w:r>
          </w:p>
        </w:tc>
      </w:tr>
      <w:tr w14:paraId="506342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8CBD224">
            <w:pPr>
              <w:pStyle w:val="180"/>
            </w:pPr>
          </w:p>
        </w:tc>
        <w:tc>
          <w:tcPr>
            <w:tcW w:w="1701" w:type="dxa"/>
            <w:shd w:val="clear" w:color="auto" w:fill="auto"/>
            <w:vAlign w:val="center"/>
          </w:tcPr>
          <w:p w14:paraId="6E49901C">
            <w:pPr>
              <w:pStyle w:val="180"/>
            </w:pPr>
            <w:r>
              <w:rPr>
                <w:rFonts w:hint="eastAsia"/>
              </w:rPr>
              <w:t>次级裂缝</w:t>
            </w:r>
          </w:p>
        </w:tc>
        <w:tc>
          <w:tcPr>
            <w:tcW w:w="6367" w:type="dxa"/>
            <w:shd w:val="clear" w:color="auto" w:fill="auto"/>
            <w:vAlign w:val="center"/>
          </w:tcPr>
          <w:p w14:paraId="172A64A1">
            <w:pPr>
              <w:pStyle w:val="180"/>
            </w:pPr>
            <w:r>
              <w:rPr>
                <w:rFonts w:hint="eastAsia"/>
              </w:rPr>
              <w:t>与主地裂缝伴生，位于主地裂缝附近，产状与主地裂缝相近，规模相对较小</w:t>
            </w:r>
          </w:p>
        </w:tc>
      </w:tr>
    </w:tbl>
    <w:p w14:paraId="4D45E9E8">
      <w:pPr>
        <w:pStyle w:val="58"/>
        <w:ind w:firstLine="420"/>
      </w:pPr>
    </w:p>
    <w:p w14:paraId="3BA1230B">
      <w:pPr>
        <w:pStyle w:val="58"/>
        <w:ind w:firstLine="420"/>
      </w:pPr>
    </w:p>
    <w:p w14:paraId="522AEAE4">
      <w:pPr>
        <w:pStyle w:val="58"/>
        <w:ind w:firstLine="420"/>
        <w:sectPr>
          <w:pgSz w:w="11906" w:h="16838"/>
          <w:pgMar w:top="1928" w:right="1134" w:bottom="1134" w:left="1134" w:header="1418" w:footer="1134" w:gutter="284"/>
          <w:cols w:space="425" w:num="1"/>
          <w:formProt w:val="0"/>
          <w:docGrid w:type="lines" w:linePitch="312" w:charSpace="0"/>
        </w:sectPr>
      </w:pPr>
    </w:p>
    <w:p w14:paraId="735A7489">
      <w:pPr>
        <w:pStyle w:val="200"/>
        <w:rPr>
          <w:vanish w:val="0"/>
        </w:rPr>
      </w:pPr>
    </w:p>
    <w:p w14:paraId="1D08AA43">
      <w:pPr>
        <w:pStyle w:val="201"/>
        <w:rPr>
          <w:vanish w:val="0"/>
        </w:rPr>
      </w:pPr>
    </w:p>
    <w:p w14:paraId="02CD959E">
      <w:pPr>
        <w:pStyle w:val="78"/>
        <w:spacing w:after="156"/>
      </w:pPr>
      <w:r>
        <w:br w:type="textWrapping"/>
      </w:r>
      <w:bookmarkStart w:id="324" w:name="_Toc178172378"/>
      <w:bookmarkStart w:id="325" w:name="_Toc176194174"/>
      <w:r>
        <w:rPr>
          <w:rFonts w:hint="eastAsia"/>
        </w:rPr>
        <w:t>（资料性）</w:t>
      </w:r>
      <w:r>
        <w:br w:type="textWrapping"/>
      </w:r>
      <w:r>
        <w:rPr>
          <w:rFonts w:hint="eastAsia"/>
        </w:rPr>
        <w:t>地质灾害风险评价方法</w:t>
      </w:r>
      <w:bookmarkEnd w:id="324"/>
      <w:bookmarkEnd w:id="325"/>
    </w:p>
    <w:p w14:paraId="7BBAD0A5">
      <w:pPr>
        <w:pStyle w:val="80"/>
        <w:spacing w:before="156" w:after="156"/>
      </w:pPr>
      <w:bookmarkStart w:id="326" w:name="_Toc168321624"/>
      <w:bookmarkStart w:id="327" w:name="_Toc168092300"/>
      <w:bookmarkStart w:id="328" w:name="_Toc176194175"/>
      <w:bookmarkStart w:id="329" w:name="_Toc178172379"/>
      <w:r>
        <w:rPr>
          <w:rFonts w:hint="eastAsia"/>
        </w:rPr>
        <w:t>易发性评价</w:t>
      </w:r>
      <w:bookmarkEnd w:id="326"/>
      <w:bookmarkEnd w:id="327"/>
      <w:bookmarkEnd w:id="328"/>
      <w:bookmarkEnd w:id="329"/>
    </w:p>
    <w:p w14:paraId="166C1781">
      <w:pPr>
        <w:pStyle w:val="58"/>
        <w:ind w:firstLine="420"/>
      </w:pPr>
      <w:r>
        <w:rPr>
          <w:rFonts w:hint="eastAsia"/>
        </w:rPr>
        <w:t>应在分析总结调查区地质灾害发育分布规律、孕灾机理、成灾模式基础上，选取地质灾害形成的主控因子，分别建立地质灾害易发性评价指标体系。</w:t>
      </w:r>
    </w:p>
    <w:p w14:paraId="7EBC0DCD">
      <w:pPr>
        <w:pStyle w:val="81"/>
        <w:spacing w:before="156" w:after="156"/>
      </w:pPr>
      <w:bookmarkStart w:id="330" w:name="_Toc178172380"/>
      <w:bookmarkStart w:id="331" w:name="_Toc176194176"/>
      <w:r>
        <w:rPr>
          <w:rFonts w:hint="eastAsia"/>
        </w:rPr>
        <w:t>滑坡、崩塌易发性评价</w:t>
      </w:r>
      <w:bookmarkEnd w:id="330"/>
      <w:bookmarkEnd w:id="331"/>
    </w:p>
    <w:p w14:paraId="712CC302">
      <w:pPr>
        <w:pStyle w:val="83"/>
        <w:spacing w:before="156" w:after="156"/>
      </w:pPr>
      <w:r>
        <w:rPr>
          <w:rFonts w:hint="eastAsia"/>
        </w:rPr>
        <w:t>综合指数法</w:t>
      </w:r>
    </w:p>
    <w:p w14:paraId="5514CFA6">
      <w:pPr>
        <w:pStyle w:val="58"/>
        <w:ind w:firstLine="420"/>
      </w:pPr>
      <w:r>
        <w:rPr>
          <w:rFonts w:hint="eastAsia"/>
        </w:rPr>
        <w:t>宜根据调查区地质灾害孕灾地质条件和地质灾害发育特征，确定各级指标类型、指标权重和分级赋分，各级指标类型不限于表</w:t>
      </w:r>
      <w:r>
        <w:t>I</w:t>
      </w:r>
      <w:r>
        <w:rPr>
          <w:rFonts w:hint="eastAsia"/>
        </w:rPr>
        <w:t>1-1所列。</w:t>
      </w:r>
    </w:p>
    <w:p w14:paraId="3A4FE580">
      <w:pPr>
        <w:pStyle w:val="79"/>
        <w:spacing w:before="156" w:after="156"/>
      </w:pPr>
      <w:r>
        <w:rPr>
          <w:rFonts w:hint="eastAsia"/>
        </w:rPr>
        <w:t>滑坡、崩塌地质灾害易发性综合指数指标选取参考表</w:t>
      </w:r>
    </w:p>
    <w:tbl>
      <w:tblPr>
        <w:tblStyle w:val="28"/>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276"/>
        <w:gridCol w:w="1134"/>
        <w:gridCol w:w="2564"/>
        <w:gridCol w:w="3820"/>
      </w:tblGrid>
      <w:tr w14:paraId="3075C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jc w:val="center"/>
        </w:trPr>
        <w:tc>
          <w:tcPr>
            <w:tcW w:w="704" w:type="dxa"/>
            <w:vMerge w:val="restart"/>
            <w:shd w:val="clear" w:color="auto" w:fill="auto"/>
            <w:vAlign w:val="center"/>
          </w:tcPr>
          <w:p w14:paraId="738DF986">
            <w:pPr>
              <w:spacing w:line="240" w:lineRule="auto"/>
              <w:jc w:val="center"/>
              <w:rPr>
                <w:rFonts w:ascii="Times New Roman" w:hAnsi="Times New Roman"/>
                <w:sz w:val="18"/>
                <w:szCs w:val="18"/>
              </w:rPr>
            </w:pPr>
            <w:r>
              <w:rPr>
                <w:rFonts w:hint="eastAsia" w:ascii="Times New Roman" w:hAnsi="Times New Roman"/>
                <w:sz w:val="18"/>
                <w:szCs w:val="18"/>
              </w:rPr>
              <w:t>序号</w:t>
            </w:r>
          </w:p>
        </w:tc>
        <w:tc>
          <w:tcPr>
            <w:tcW w:w="8794" w:type="dxa"/>
            <w:gridSpan w:val="4"/>
            <w:shd w:val="clear" w:color="auto" w:fill="auto"/>
            <w:vAlign w:val="center"/>
          </w:tcPr>
          <w:p w14:paraId="28AA8324">
            <w:pPr>
              <w:spacing w:line="240" w:lineRule="auto"/>
              <w:jc w:val="center"/>
              <w:rPr>
                <w:rFonts w:ascii="Times New Roman" w:hAnsi="Times New Roman"/>
                <w:sz w:val="18"/>
                <w:szCs w:val="18"/>
              </w:rPr>
            </w:pPr>
            <w:r>
              <w:rPr>
                <w:rFonts w:ascii="Times New Roman" w:hAnsi="Times New Roman"/>
                <w:sz w:val="18"/>
                <w:szCs w:val="18"/>
              </w:rPr>
              <w:t>指标类型</w:t>
            </w:r>
          </w:p>
        </w:tc>
      </w:tr>
      <w:tr w14:paraId="7206D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jc w:val="center"/>
        </w:trPr>
        <w:tc>
          <w:tcPr>
            <w:tcW w:w="704" w:type="dxa"/>
            <w:vMerge w:val="continue"/>
            <w:shd w:val="clear" w:color="auto" w:fill="auto"/>
            <w:vAlign w:val="center"/>
          </w:tcPr>
          <w:p w14:paraId="30664F08">
            <w:pPr>
              <w:spacing w:line="240" w:lineRule="auto"/>
              <w:jc w:val="center"/>
              <w:rPr>
                <w:rFonts w:ascii="Times New Roman" w:hAnsi="Times New Roman"/>
                <w:sz w:val="18"/>
                <w:szCs w:val="18"/>
              </w:rPr>
            </w:pPr>
          </w:p>
        </w:tc>
        <w:tc>
          <w:tcPr>
            <w:tcW w:w="1276" w:type="dxa"/>
            <w:shd w:val="clear" w:color="auto" w:fill="auto"/>
            <w:vAlign w:val="center"/>
          </w:tcPr>
          <w:p w14:paraId="5FF2B4A7">
            <w:pPr>
              <w:spacing w:line="240" w:lineRule="auto"/>
              <w:jc w:val="center"/>
              <w:rPr>
                <w:rFonts w:ascii="Times New Roman" w:hAnsi="Times New Roman"/>
                <w:sz w:val="18"/>
                <w:szCs w:val="18"/>
              </w:rPr>
            </w:pPr>
            <w:r>
              <w:rPr>
                <w:rFonts w:hint="eastAsia" w:ascii="Times New Roman" w:hAnsi="Times New Roman"/>
                <w:sz w:val="18"/>
                <w:szCs w:val="18"/>
              </w:rPr>
              <w:t>一级指标</w:t>
            </w:r>
          </w:p>
        </w:tc>
        <w:tc>
          <w:tcPr>
            <w:tcW w:w="1134" w:type="dxa"/>
            <w:shd w:val="clear" w:color="auto" w:fill="auto"/>
            <w:vAlign w:val="center"/>
          </w:tcPr>
          <w:p w14:paraId="7D096732">
            <w:pPr>
              <w:spacing w:line="240" w:lineRule="auto"/>
              <w:jc w:val="center"/>
              <w:rPr>
                <w:rFonts w:ascii="Times New Roman" w:hAnsi="Times New Roman"/>
                <w:sz w:val="18"/>
                <w:szCs w:val="18"/>
              </w:rPr>
            </w:pPr>
            <w:r>
              <w:rPr>
                <w:rFonts w:hint="eastAsia" w:ascii="Times New Roman" w:hAnsi="Times New Roman"/>
                <w:sz w:val="18"/>
                <w:szCs w:val="18"/>
              </w:rPr>
              <w:t>二级指标</w:t>
            </w:r>
          </w:p>
        </w:tc>
        <w:tc>
          <w:tcPr>
            <w:tcW w:w="6384" w:type="dxa"/>
            <w:gridSpan w:val="2"/>
            <w:shd w:val="clear" w:color="auto" w:fill="auto"/>
            <w:vAlign w:val="center"/>
          </w:tcPr>
          <w:p w14:paraId="6CC8E505">
            <w:pPr>
              <w:spacing w:line="240" w:lineRule="auto"/>
              <w:jc w:val="center"/>
              <w:rPr>
                <w:rFonts w:ascii="Times New Roman" w:hAnsi="Times New Roman"/>
                <w:sz w:val="18"/>
                <w:szCs w:val="18"/>
              </w:rPr>
            </w:pPr>
            <w:r>
              <w:rPr>
                <w:rFonts w:hint="eastAsia" w:ascii="Times New Roman" w:hAnsi="Times New Roman"/>
                <w:sz w:val="18"/>
                <w:szCs w:val="18"/>
              </w:rPr>
              <w:t>三级指标</w:t>
            </w:r>
          </w:p>
        </w:tc>
      </w:tr>
      <w:tr w14:paraId="1E841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auto"/>
            <w:vAlign w:val="center"/>
          </w:tcPr>
          <w:p w14:paraId="0B0F0FF8">
            <w:pPr>
              <w:spacing w:line="240" w:lineRule="auto"/>
              <w:jc w:val="center"/>
              <w:rPr>
                <w:rFonts w:ascii="Times New Roman" w:hAnsi="Times New Roman"/>
                <w:sz w:val="18"/>
                <w:szCs w:val="18"/>
              </w:rPr>
            </w:pPr>
            <w:r>
              <w:rPr>
                <w:rFonts w:hint="eastAsia" w:ascii="Times New Roman" w:hAnsi="Times New Roman"/>
                <w:sz w:val="18"/>
                <w:szCs w:val="18"/>
              </w:rPr>
              <w:t>1</w:t>
            </w:r>
          </w:p>
        </w:tc>
        <w:tc>
          <w:tcPr>
            <w:tcW w:w="1276" w:type="dxa"/>
            <w:vMerge w:val="restart"/>
            <w:shd w:val="clear" w:color="auto" w:fill="auto"/>
            <w:vAlign w:val="center"/>
          </w:tcPr>
          <w:p w14:paraId="5BE45883">
            <w:pPr>
              <w:spacing w:line="240" w:lineRule="auto"/>
              <w:jc w:val="center"/>
              <w:rPr>
                <w:rFonts w:ascii="Times New Roman" w:hAnsi="Times New Roman"/>
                <w:sz w:val="18"/>
                <w:szCs w:val="18"/>
              </w:rPr>
            </w:pPr>
            <w:r>
              <w:rPr>
                <w:rFonts w:hint="eastAsia" w:ascii="Times New Roman" w:hAnsi="Times New Roman"/>
                <w:sz w:val="18"/>
                <w:szCs w:val="18"/>
              </w:rPr>
              <w:t>地形地貌特征</w:t>
            </w:r>
          </w:p>
        </w:tc>
        <w:tc>
          <w:tcPr>
            <w:tcW w:w="1134" w:type="dxa"/>
            <w:shd w:val="clear" w:color="auto" w:fill="auto"/>
            <w:vAlign w:val="center"/>
          </w:tcPr>
          <w:p w14:paraId="62247500">
            <w:pPr>
              <w:spacing w:line="240" w:lineRule="auto"/>
              <w:jc w:val="center"/>
              <w:rPr>
                <w:rFonts w:ascii="Times New Roman" w:hAnsi="Times New Roman"/>
                <w:sz w:val="18"/>
                <w:szCs w:val="18"/>
              </w:rPr>
            </w:pPr>
            <w:r>
              <w:rPr>
                <w:rFonts w:ascii="Times New Roman" w:hAnsi="Times New Roman"/>
                <w:sz w:val="18"/>
                <w:szCs w:val="18"/>
              </w:rPr>
              <w:t>坡度</w:t>
            </w:r>
          </w:p>
        </w:tc>
        <w:tc>
          <w:tcPr>
            <w:tcW w:w="6384" w:type="dxa"/>
            <w:gridSpan w:val="2"/>
            <w:shd w:val="clear" w:color="auto" w:fill="auto"/>
            <w:vAlign w:val="center"/>
          </w:tcPr>
          <w:p w14:paraId="2BA971EB">
            <w:pPr>
              <w:spacing w:line="240" w:lineRule="auto"/>
              <w:rPr>
                <w:rFonts w:ascii="Times New Roman" w:hAnsi="Times New Roman"/>
                <w:sz w:val="18"/>
                <w:szCs w:val="18"/>
              </w:rPr>
            </w:pPr>
            <w:r>
              <w:rPr>
                <w:rFonts w:ascii="宋体" w:hAnsi="宋体" w:cs="宋体"/>
                <w:sz w:val="18"/>
                <w:szCs w:val="18"/>
              </w:rPr>
              <w:t>根据具有孕灾条件的斜坡区段，结合野外调查确定。分级标准可结合地质灾害发育特征合理确定</w:t>
            </w:r>
            <w:r>
              <w:rPr>
                <w:rFonts w:hint="eastAsia" w:ascii="宋体" w:hAnsi="宋体" w:cs="宋体"/>
                <w:sz w:val="18"/>
                <w:szCs w:val="18"/>
              </w:rPr>
              <w:t>，</w:t>
            </w:r>
            <w:r>
              <w:rPr>
                <w:rFonts w:ascii="宋体" w:hAnsi="宋体" w:cs="宋体"/>
                <w:sz w:val="18"/>
                <w:szCs w:val="18"/>
              </w:rPr>
              <w:t>不同级别应体现出灾害数量的差异性分布。应作定量判断。</w:t>
            </w:r>
          </w:p>
        </w:tc>
      </w:tr>
      <w:tr w14:paraId="23D5C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auto"/>
            <w:vAlign w:val="center"/>
          </w:tcPr>
          <w:p w14:paraId="4BFE0102">
            <w:pPr>
              <w:spacing w:line="240" w:lineRule="auto"/>
              <w:jc w:val="center"/>
              <w:rPr>
                <w:rFonts w:ascii="Times New Roman" w:hAnsi="Times New Roman"/>
                <w:sz w:val="18"/>
                <w:szCs w:val="18"/>
              </w:rPr>
            </w:pPr>
            <w:r>
              <w:rPr>
                <w:rFonts w:hint="eastAsia" w:ascii="Times New Roman" w:hAnsi="Times New Roman"/>
                <w:sz w:val="18"/>
                <w:szCs w:val="18"/>
              </w:rPr>
              <w:t>2</w:t>
            </w:r>
          </w:p>
        </w:tc>
        <w:tc>
          <w:tcPr>
            <w:tcW w:w="1276" w:type="dxa"/>
            <w:vMerge w:val="continue"/>
            <w:shd w:val="clear" w:color="auto" w:fill="auto"/>
            <w:vAlign w:val="center"/>
          </w:tcPr>
          <w:p w14:paraId="6A797840">
            <w:pPr>
              <w:spacing w:line="240" w:lineRule="auto"/>
              <w:jc w:val="center"/>
              <w:rPr>
                <w:rFonts w:ascii="Times New Roman" w:hAnsi="Times New Roman"/>
                <w:sz w:val="18"/>
                <w:szCs w:val="18"/>
              </w:rPr>
            </w:pPr>
          </w:p>
        </w:tc>
        <w:tc>
          <w:tcPr>
            <w:tcW w:w="1134" w:type="dxa"/>
            <w:shd w:val="clear" w:color="auto" w:fill="auto"/>
            <w:vAlign w:val="center"/>
          </w:tcPr>
          <w:p w14:paraId="510716E0">
            <w:pPr>
              <w:spacing w:line="240" w:lineRule="auto"/>
              <w:jc w:val="center"/>
              <w:rPr>
                <w:rFonts w:ascii="Times New Roman" w:hAnsi="Times New Roman"/>
                <w:sz w:val="18"/>
                <w:szCs w:val="18"/>
              </w:rPr>
            </w:pPr>
            <w:r>
              <w:rPr>
                <w:rFonts w:ascii="Times New Roman" w:hAnsi="Times New Roman"/>
                <w:sz w:val="18"/>
                <w:szCs w:val="18"/>
              </w:rPr>
              <w:t>坡向</w:t>
            </w:r>
          </w:p>
        </w:tc>
        <w:tc>
          <w:tcPr>
            <w:tcW w:w="6384" w:type="dxa"/>
            <w:gridSpan w:val="2"/>
            <w:shd w:val="clear" w:color="auto" w:fill="auto"/>
            <w:vAlign w:val="center"/>
          </w:tcPr>
          <w:p w14:paraId="1805713C">
            <w:pPr>
              <w:spacing w:line="240" w:lineRule="auto"/>
              <w:rPr>
                <w:rFonts w:ascii="Times New Roman" w:hAnsi="Times New Roman"/>
                <w:sz w:val="18"/>
                <w:szCs w:val="18"/>
              </w:rPr>
            </w:pPr>
            <w:r>
              <w:rPr>
                <w:rFonts w:ascii="宋体" w:hAnsi="宋体" w:cs="宋体"/>
                <w:sz w:val="18"/>
                <w:szCs w:val="18"/>
              </w:rPr>
              <w:t>根据地形图结合野外调查确定。分级标准可结合地质灾害发育特征合理确定，不同级别应体现出灾害数量的差异性分布。</w:t>
            </w:r>
            <w:r>
              <w:rPr>
                <w:rFonts w:hint="eastAsia" w:ascii="宋体" w:hAnsi="宋体" w:cs="宋体"/>
                <w:sz w:val="18"/>
                <w:szCs w:val="18"/>
              </w:rPr>
              <w:t>应</w:t>
            </w:r>
            <w:r>
              <w:rPr>
                <w:rFonts w:ascii="宋体" w:hAnsi="宋体" w:cs="宋体"/>
                <w:sz w:val="18"/>
                <w:szCs w:val="18"/>
              </w:rPr>
              <w:t>作定量判断。</w:t>
            </w:r>
          </w:p>
        </w:tc>
      </w:tr>
      <w:tr w14:paraId="59164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4" w:type="dxa"/>
            <w:shd w:val="clear" w:color="auto" w:fill="auto"/>
            <w:vAlign w:val="center"/>
          </w:tcPr>
          <w:p w14:paraId="5B39065B">
            <w:pPr>
              <w:spacing w:line="240" w:lineRule="auto"/>
              <w:jc w:val="center"/>
              <w:rPr>
                <w:rFonts w:ascii="Times New Roman" w:hAnsi="Times New Roman"/>
                <w:sz w:val="18"/>
                <w:szCs w:val="18"/>
              </w:rPr>
            </w:pPr>
            <w:r>
              <w:rPr>
                <w:rFonts w:hint="eastAsia" w:ascii="Times New Roman" w:hAnsi="Times New Roman"/>
                <w:sz w:val="18"/>
                <w:szCs w:val="18"/>
              </w:rPr>
              <w:t>3</w:t>
            </w:r>
          </w:p>
        </w:tc>
        <w:tc>
          <w:tcPr>
            <w:tcW w:w="1276" w:type="dxa"/>
            <w:vMerge w:val="continue"/>
            <w:shd w:val="clear" w:color="auto" w:fill="auto"/>
            <w:vAlign w:val="center"/>
          </w:tcPr>
          <w:p w14:paraId="35B5C75F">
            <w:pPr>
              <w:spacing w:line="240" w:lineRule="auto"/>
              <w:jc w:val="center"/>
              <w:rPr>
                <w:rFonts w:ascii="Times New Roman" w:hAnsi="Times New Roman"/>
                <w:sz w:val="18"/>
                <w:szCs w:val="18"/>
              </w:rPr>
            </w:pPr>
          </w:p>
        </w:tc>
        <w:tc>
          <w:tcPr>
            <w:tcW w:w="1134" w:type="dxa"/>
            <w:shd w:val="clear" w:color="auto" w:fill="auto"/>
            <w:vAlign w:val="center"/>
          </w:tcPr>
          <w:p w14:paraId="19AE5A16">
            <w:pPr>
              <w:spacing w:line="240" w:lineRule="auto"/>
              <w:jc w:val="center"/>
              <w:rPr>
                <w:rFonts w:ascii="Times New Roman" w:hAnsi="Times New Roman"/>
                <w:sz w:val="18"/>
                <w:szCs w:val="18"/>
              </w:rPr>
            </w:pPr>
            <w:r>
              <w:rPr>
                <w:rFonts w:ascii="Times New Roman" w:hAnsi="Times New Roman"/>
                <w:sz w:val="18"/>
                <w:szCs w:val="18"/>
              </w:rPr>
              <w:t>高差</w:t>
            </w:r>
          </w:p>
        </w:tc>
        <w:tc>
          <w:tcPr>
            <w:tcW w:w="6384" w:type="dxa"/>
            <w:gridSpan w:val="2"/>
            <w:shd w:val="clear" w:color="auto" w:fill="auto"/>
            <w:vAlign w:val="center"/>
          </w:tcPr>
          <w:p w14:paraId="50C2B7E9">
            <w:pPr>
              <w:spacing w:line="240" w:lineRule="auto"/>
              <w:rPr>
                <w:rFonts w:ascii="Times New Roman" w:hAnsi="Times New Roman"/>
                <w:sz w:val="18"/>
                <w:szCs w:val="18"/>
              </w:rPr>
            </w:pPr>
            <w:r>
              <w:rPr>
                <w:rFonts w:ascii="宋体" w:hAnsi="宋体" w:cs="宋体"/>
                <w:sz w:val="18"/>
                <w:szCs w:val="18"/>
              </w:rPr>
              <w:t>为斜坡的相对高差，根据地形图结合野外调查确定。分级标准可结合地质灾害发育特征合理确定，不同级别应体现出灾害数量的差异性分布。</w:t>
            </w:r>
            <w:r>
              <w:rPr>
                <w:rFonts w:hint="eastAsia" w:ascii="宋体" w:hAnsi="宋体" w:cs="宋体"/>
                <w:sz w:val="18"/>
                <w:szCs w:val="18"/>
              </w:rPr>
              <w:t>应</w:t>
            </w:r>
            <w:r>
              <w:rPr>
                <w:rFonts w:ascii="宋体" w:hAnsi="宋体" w:cs="宋体"/>
                <w:sz w:val="18"/>
                <w:szCs w:val="18"/>
              </w:rPr>
              <w:t>作定量判断。</w:t>
            </w:r>
          </w:p>
        </w:tc>
      </w:tr>
      <w:tr w14:paraId="6B586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shd w:val="clear" w:color="auto" w:fill="auto"/>
            <w:vAlign w:val="center"/>
          </w:tcPr>
          <w:p w14:paraId="47E70EB0">
            <w:pPr>
              <w:spacing w:line="240" w:lineRule="auto"/>
              <w:jc w:val="center"/>
              <w:rPr>
                <w:rFonts w:ascii="Times New Roman" w:hAnsi="Times New Roman"/>
                <w:sz w:val="18"/>
                <w:szCs w:val="18"/>
              </w:rPr>
            </w:pPr>
            <w:r>
              <w:rPr>
                <w:rFonts w:hint="eastAsia" w:ascii="Times New Roman" w:hAnsi="Times New Roman"/>
                <w:sz w:val="18"/>
                <w:szCs w:val="18"/>
              </w:rPr>
              <w:t>4</w:t>
            </w:r>
          </w:p>
        </w:tc>
        <w:tc>
          <w:tcPr>
            <w:tcW w:w="1276" w:type="dxa"/>
            <w:vMerge w:val="continue"/>
            <w:shd w:val="clear" w:color="auto" w:fill="auto"/>
            <w:vAlign w:val="center"/>
          </w:tcPr>
          <w:p w14:paraId="062B6463">
            <w:pPr>
              <w:spacing w:line="240" w:lineRule="auto"/>
              <w:jc w:val="center"/>
              <w:rPr>
                <w:rFonts w:ascii="Times New Roman" w:hAnsi="Times New Roman"/>
                <w:sz w:val="18"/>
                <w:szCs w:val="18"/>
              </w:rPr>
            </w:pPr>
          </w:p>
        </w:tc>
        <w:tc>
          <w:tcPr>
            <w:tcW w:w="1134" w:type="dxa"/>
            <w:vMerge w:val="restart"/>
            <w:shd w:val="clear" w:color="auto" w:fill="auto"/>
            <w:vAlign w:val="center"/>
          </w:tcPr>
          <w:p w14:paraId="49B6D366">
            <w:pPr>
              <w:spacing w:line="240" w:lineRule="auto"/>
              <w:jc w:val="center"/>
              <w:rPr>
                <w:rFonts w:ascii="Times New Roman" w:hAnsi="Times New Roman"/>
                <w:sz w:val="18"/>
                <w:szCs w:val="18"/>
              </w:rPr>
            </w:pPr>
            <w:r>
              <w:rPr>
                <w:rFonts w:ascii="Times New Roman" w:hAnsi="Times New Roman"/>
                <w:sz w:val="18"/>
                <w:szCs w:val="18"/>
              </w:rPr>
              <w:t>坡形</w:t>
            </w:r>
          </w:p>
        </w:tc>
        <w:tc>
          <w:tcPr>
            <w:tcW w:w="6384" w:type="dxa"/>
            <w:gridSpan w:val="2"/>
            <w:shd w:val="clear" w:color="auto" w:fill="auto"/>
            <w:vAlign w:val="center"/>
          </w:tcPr>
          <w:p w14:paraId="05D8DB0E">
            <w:pPr>
              <w:spacing w:line="240" w:lineRule="auto"/>
              <w:jc w:val="center"/>
              <w:rPr>
                <w:rFonts w:ascii="Times New Roman" w:hAnsi="Times New Roman"/>
                <w:sz w:val="18"/>
                <w:szCs w:val="18"/>
              </w:rPr>
            </w:pPr>
            <w:r>
              <w:rPr>
                <w:rFonts w:ascii="Times New Roman" w:hAnsi="Times New Roman"/>
                <w:sz w:val="18"/>
                <w:szCs w:val="18"/>
              </w:rPr>
              <w:t>凸形</w:t>
            </w:r>
          </w:p>
        </w:tc>
      </w:tr>
      <w:tr w14:paraId="622A5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39F0DBA3">
            <w:pPr>
              <w:spacing w:line="240" w:lineRule="auto"/>
              <w:jc w:val="center"/>
              <w:rPr>
                <w:rFonts w:ascii="Times New Roman" w:hAnsi="Times New Roman"/>
                <w:sz w:val="18"/>
                <w:szCs w:val="18"/>
              </w:rPr>
            </w:pPr>
          </w:p>
        </w:tc>
        <w:tc>
          <w:tcPr>
            <w:tcW w:w="1276" w:type="dxa"/>
            <w:vMerge w:val="continue"/>
            <w:shd w:val="clear" w:color="auto" w:fill="auto"/>
            <w:vAlign w:val="center"/>
          </w:tcPr>
          <w:p w14:paraId="6826D3A7">
            <w:pPr>
              <w:spacing w:line="240" w:lineRule="auto"/>
              <w:jc w:val="center"/>
              <w:rPr>
                <w:rFonts w:ascii="Times New Roman" w:hAnsi="Times New Roman"/>
                <w:sz w:val="18"/>
                <w:szCs w:val="18"/>
              </w:rPr>
            </w:pPr>
          </w:p>
        </w:tc>
        <w:tc>
          <w:tcPr>
            <w:tcW w:w="1134" w:type="dxa"/>
            <w:vMerge w:val="continue"/>
            <w:shd w:val="clear" w:color="auto" w:fill="auto"/>
            <w:vAlign w:val="center"/>
          </w:tcPr>
          <w:p w14:paraId="3492ACE6">
            <w:pPr>
              <w:spacing w:line="240" w:lineRule="auto"/>
              <w:jc w:val="center"/>
              <w:rPr>
                <w:rFonts w:ascii="Times New Roman" w:hAnsi="Times New Roman"/>
                <w:sz w:val="18"/>
                <w:szCs w:val="18"/>
              </w:rPr>
            </w:pPr>
          </w:p>
        </w:tc>
        <w:tc>
          <w:tcPr>
            <w:tcW w:w="6384" w:type="dxa"/>
            <w:gridSpan w:val="2"/>
            <w:shd w:val="clear" w:color="auto" w:fill="auto"/>
            <w:vAlign w:val="center"/>
          </w:tcPr>
          <w:p w14:paraId="79FFB75D">
            <w:pPr>
              <w:spacing w:line="240" w:lineRule="auto"/>
              <w:jc w:val="center"/>
              <w:rPr>
                <w:rFonts w:ascii="Times New Roman" w:hAnsi="Times New Roman"/>
                <w:sz w:val="18"/>
                <w:szCs w:val="18"/>
              </w:rPr>
            </w:pPr>
            <w:r>
              <w:rPr>
                <w:rFonts w:ascii="Times New Roman" w:hAnsi="Times New Roman"/>
                <w:sz w:val="18"/>
                <w:szCs w:val="18"/>
              </w:rPr>
              <w:t>凹形</w:t>
            </w:r>
          </w:p>
        </w:tc>
      </w:tr>
      <w:tr w14:paraId="44547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0CCDC653">
            <w:pPr>
              <w:spacing w:line="240" w:lineRule="auto"/>
              <w:jc w:val="center"/>
              <w:rPr>
                <w:rFonts w:ascii="Times New Roman" w:hAnsi="Times New Roman"/>
                <w:sz w:val="18"/>
                <w:szCs w:val="18"/>
              </w:rPr>
            </w:pPr>
          </w:p>
        </w:tc>
        <w:tc>
          <w:tcPr>
            <w:tcW w:w="1276" w:type="dxa"/>
            <w:vMerge w:val="continue"/>
            <w:shd w:val="clear" w:color="auto" w:fill="auto"/>
            <w:vAlign w:val="center"/>
          </w:tcPr>
          <w:p w14:paraId="4D3E0AF6">
            <w:pPr>
              <w:spacing w:line="240" w:lineRule="auto"/>
              <w:jc w:val="center"/>
              <w:rPr>
                <w:rFonts w:ascii="Times New Roman" w:hAnsi="Times New Roman"/>
                <w:sz w:val="18"/>
                <w:szCs w:val="18"/>
              </w:rPr>
            </w:pPr>
          </w:p>
        </w:tc>
        <w:tc>
          <w:tcPr>
            <w:tcW w:w="1134" w:type="dxa"/>
            <w:vMerge w:val="continue"/>
            <w:shd w:val="clear" w:color="auto" w:fill="auto"/>
            <w:vAlign w:val="center"/>
          </w:tcPr>
          <w:p w14:paraId="60374AAB">
            <w:pPr>
              <w:spacing w:line="240" w:lineRule="auto"/>
              <w:jc w:val="center"/>
              <w:rPr>
                <w:rFonts w:ascii="Times New Roman" w:hAnsi="Times New Roman"/>
                <w:sz w:val="18"/>
                <w:szCs w:val="18"/>
              </w:rPr>
            </w:pPr>
          </w:p>
        </w:tc>
        <w:tc>
          <w:tcPr>
            <w:tcW w:w="6384" w:type="dxa"/>
            <w:gridSpan w:val="2"/>
            <w:shd w:val="clear" w:color="auto" w:fill="auto"/>
            <w:vAlign w:val="center"/>
          </w:tcPr>
          <w:p w14:paraId="44387104">
            <w:pPr>
              <w:spacing w:line="240" w:lineRule="auto"/>
              <w:jc w:val="center"/>
              <w:rPr>
                <w:rFonts w:ascii="Times New Roman" w:hAnsi="Times New Roman"/>
                <w:sz w:val="18"/>
                <w:szCs w:val="18"/>
              </w:rPr>
            </w:pPr>
            <w:r>
              <w:rPr>
                <w:rFonts w:ascii="Times New Roman" w:hAnsi="Times New Roman"/>
                <w:sz w:val="18"/>
                <w:szCs w:val="18"/>
              </w:rPr>
              <w:t>直坡</w:t>
            </w:r>
            <w:r>
              <w:rPr>
                <w:rFonts w:hint="eastAsia" w:ascii="Times New Roman" w:hAnsi="Times New Roman"/>
                <w:sz w:val="18"/>
                <w:szCs w:val="18"/>
              </w:rPr>
              <w:t>、折形</w:t>
            </w:r>
          </w:p>
        </w:tc>
      </w:tr>
      <w:tr w14:paraId="76E73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auto"/>
            <w:vAlign w:val="center"/>
          </w:tcPr>
          <w:p w14:paraId="77CD9A4C">
            <w:pPr>
              <w:spacing w:line="240" w:lineRule="auto"/>
              <w:jc w:val="center"/>
              <w:rPr>
                <w:rFonts w:ascii="Times New Roman" w:hAnsi="Times New Roman"/>
                <w:sz w:val="18"/>
                <w:szCs w:val="18"/>
              </w:rPr>
            </w:pPr>
            <w:r>
              <w:rPr>
                <w:rFonts w:hint="eastAsia" w:ascii="Times New Roman" w:hAnsi="Times New Roman"/>
                <w:sz w:val="18"/>
                <w:szCs w:val="18"/>
              </w:rPr>
              <w:t>5</w:t>
            </w:r>
          </w:p>
        </w:tc>
        <w:tc>
          <w:tcPr>
            <w:tcW w:w="1276" w:type="dxa"/>
            <w:vMerge w:val="restart"/>
            <w:shd w:val="clear" w:color="auto" w:fill="auto"/>
            <w:vAlign w:val="center"/>
          </w:tcPr>
          <w:p w14:paraId="25A54062">
            <w:pPr>
              <w:spacing w:line="240" w:lineRule="auto"/>
              <w:jc w:val="center"/>
              <w:rPr>
                <w:rFonts w:ascii="Times New Roman" w:hAnsi="Times New Roman"/>
                <w:sz w:val="18"/>
                <w:szCs w:val="18"/>
              </w:rPr>
            </w:pPr>
            <w:r>
              <w:rPr>
                <w:rFonts w:hint="eastAsia" w:ascii="Times New Roman" w:hAnsi="Times New Roman"/>
                <w:sz w:val="18"/>
                <w:szCs w:val="18"/>
              </w:rPr>
              <w:t>斜坡物质结构特征</w:t>
            </w:r>
          </w:p>
        </w:tc>
        <w:tc>
          <w:tcPr>
            <w:tcW w:w="1134" w:type="dxa"/>
            <w:shd w:val="clear" w:color="auto" w:fill="auto"/>
            <w:vAlign w:val="center"/>
          </w:tcPr>
          <w:p w14:paraId="4FA3C34C">
            <w:pPr>
              <w:spacing w:line="240" w:lineRule="auto"/>
              <w:jc w:val="center"/>
              <w:rPr>
                <w:rFonts w:ascii="Times New Roman" w:hAnsi="Times New Roman"/>
                <w:sz w:val="18"/>
                <w:szCs w:val="18"/>
              </w:rPr>
            </w:pPr>
            <w:r>
              <w:rPr>
                <w:rFonts w:ascii="Times New Roman" w:hAnsi="Times New Roman"/>
                <w:sz w:val="18"/>
                <w:szCs w:val="18"/>
              </w:rPr>
              <w:t>覆盖层厚度</w:t>
            </w:r>
          </w:p>
        </w:tc>
        <w:tc>
          <w:tcPr>
            <w:tcW w:w="6384" w:type="dxa"/>
            <w:gridSpan w:val="2"/>
            <w:shd w:val="clear" w:color="auto" w:fill="auto"/>
            <w:vAlign w:val="center"/>
          </w:tcPr>
          <w:p w14:paraId="58881053">
            <w:pPr>
              <w:spacing w:line="240" w:lineRule="auto"/>
              <w:rPr>
                <w:rFonts w:ascii="Times New Roman" w:hAnsi="Times New Roman"/>
                <w:sz w:val="18"/>
                <w:szCs w:val="18"/>
              </w:rPr>
            </w:pPr>
            <w:r>
              <w:rPr>
                <w:rFonts w:ascii="宋体" w:hAnsi="宋体" w:cs="宋体"/>
                <w:sz w:val="18"/>
                <w:szCs w:val="18"/>
              </w:rPr>
              <w:t>根据野外调查确定。分级标准可结合地质灾害发育特征合理确定，不同级别应体现出灾害数量的差异性分布。</w:t>
            </w:r>
            <w:r>
              <w:rPr>
                <w:rFonts w:hint="eastAsia" w:ascii="宋体" w:hAnsi="宋体" w:cs="宋体"/>
                <w:sz w:val="18"/>
                <w:szCs w:val="18"/>
              </w:rPr>
              <w:t>应</w:t>
            </w:r>
            <w:r>
              <w:rPr>
                <w:rFonts w:ascii="宋体" w:hAnsi="宋体" w:cs="宋体"/>
                <w:sz w:val="18"/>
                <w:szCs w:val="18"/>
              </w:rPr>
              <w:t>作定量判断。</w:t>
            </w:r>
          </w:p>
        </w:tc>
      </w:tr>
      <w:tr w14:paraId="2CCCD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shd w:val="clear" w:color="auto" w:fill="auto"/>
            <w:vAlign w:val="center"/>
          </w:tcPr>
          <w:p w14:paraId="1F71C22F">
            <w:pPr>
              <w:spacing w:line="240" w:lineRule="auto"/>
              <w:jc w:val="center"/>
              <w:rPr>
                <w:rFonts w:ascii="Times New Roman" w:hAnsi="Times New Roman"/>
                <w:sz w:val="18"/>
                <w:szCs w:val="18"/>
              </w:rPr>
            </w:pPr>
            <w:r>
              <w:rPr>
                <w:rFonts w:hint="eastAsia" w:ascii="Times New Roman" w:hAnsi="Times New Roman"/>
                <w:sz w:val="18"/>
                <w:szCs w:val="18"/>
              </w:rPr>
              <w:t>6</w:t>
            </w:r>
          </w:p>
        </w:tc>
        <w:tc>
          <w:tcPr>
            <w:tcW w:w="1276" w:type="dxa"/>
            <w:vMerge w:val="continue"/>
            <w:shd w:val="clear" w:color="auto" w:fill="auto"/>
            <w:vAlign w:val="center"/>
          </w:tcPr>
          <w:p w14:paraId="6A333ED7">
            <w:pPr>
              <w:spacing w:line="240" w:lineRule="auto"/>
              <w:jc w:val="center"/>
              <w:rPr>
                <w:rFonts w:ascii="Times New Roman" w:hAnsi="Times New Roman"/>
                <w:sz w:val="18"/>
                <w:szCs w:val="18"/>
              </w:rPr>
            </w:pPr>
          </w:p>
        </w:tc>
        <w:tc>
          <w:tcPr>
            <w:tcW w:w="1134" w:type="dxa"/>
            <w:vMerge w:val="restart"/>
            <w:shd w:val="clear" w:color="auto" w:fill="auto"/>
            <w:vAlign w:val="center"/>
          </w:tcPr>
          <w:p w14:paraId="4AFEC008">
            <w:pPr>
              <w:spacing w:line="240" w:lineRule="auto"/>
              <w:jc w:val="center"/>
              <w:rPr>
                <w:rFonts w:ascii="Times New Roman" w:hAnsi="Times New Roman"/>
                <w:sz w:val="18"/>
                <w:szCs w:val="18"/>
              </w:rPr>
            </w:pPr>
            <w:r>
              <w:rPr>
                <w:rFonts w:ascii="Times New Roman" w:hAnsi="Times New Roman"/>
                <w:sz w:val="18"/>
                <w:szCs w:val="18"/>
              </w:rPr>
              <w:t>岩</w:t>
            </w:r>
            <w:r>
              <w:rPr>
                <w:rFonts w:hint="eastAsia" w:ascii="Times New Roman" w:hAnsi="Times New Roman"/>
                <w:sz w:val="18"/>
                <w:szCs w:val="18"/>
              </w:rPr>
              <w:t>体</w:t>
            </w:r>
            <w:r>
              <w:rPr>
                <w:rFonts w:ascii="Times New Roman" w:hAnsi="Times New Roman"/>
                <w:sz w:val="18"/>
                <w:szCs w:val="18"/>
              </w:rPr>
              <w:t>结构</w:t>
            </w:r>
          </w:p>
        </w:tc>
        <w:tc>
          <w:tcPr>
            <w:tcW w:w="2564" w:type="dxa"/>
            <w:vMerge w:val="restart"/>
            <w:shd w:val="clear" w:color="auto" w:fill="auto"/>
            <w:vAlign w:val="center"/>
          </w:tcPr>
          <w:p w14:paraId="2A19CB66">
            <w:pPr>
              <w:spacing w:line="240" w:lineRule="auto"/>
              <w:jc w:val="center"/>
              <w:rPr>
                <w:rFonts w:ascii="Times New Roman" w:hAnsi="Times New Roman"/>
                <w:sz w:val="18"/>
                <w:szCs w:val="18"/>
              </w:rPr>
            </w:pPr>
            <w:r>
              <w:rPr>
                <w:rFonts w:ascii="宋体" w:hAnsi="宋体" w:cs="宋体"/>
                <w:sz w:val="18"/>
                <w:szCs w:val="18"/>
              </w:rPr>
              <w:t>整体块状结构</w:t>
            </w:r>
          </w:p>
        </w:tc>
        <w:tc>
          <w:tcPr>
            <w:tcW w:w="3820" w:type="dxa"/>
            <w:shd w:val="clear" w:color="auto" w:fill="auto"/>
            <w:vAlign w:val="center"/>
          </w:tcPr>
          <w:p w14:paraId="3A9CCF63">
            <w:pPr>
              <w:spacing w:line="240" w:lineRule="auto"/>
              <w:jc w:val="center"/>
              <w:rPr>
                <w:rFonts w:ascii="Times New Roman" w:hAnsi="Times New Roman"/>
                <w:sz w:val="18"/>
                <w:szCs w:val="18"/>
              </w:rPr>
            </w:pPr>
            <w:r>
              <w:rPr>
                <w:rFonts w:ascii="宋体" w:hAnsi="宋体" w:cs="宋体"/>
                <w:sz w:val="18"/>
                <w:szCs w:val="18"/>
              </w:rPr>
              <w:t>整体结构</w:t>
            </w:r>
          </w:p>
        </w:tc>
      </w:tr>
      <w:tr w14:paraId="45E48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4AB2CFAE">
            <w:pPr>
              <w:spacing w:line="240" w:lineRule="auto"/>
              <w:jc w:val="center"/>
              <w:rPr>
                <w:rFonts w:ascii="Times New Roman" w:hAnsi="Times New Roman"/>
                <w:sz w:val="18"/>
                <w:szCs w:val="18"/>
              </w:rPr>
            </w:pPr>
          </w:p>
        </w:tc>
        <w:tc>
          <w:tcPr>
            <w:tcW w:w="1276" w:type="dxa"/>
            <w:vMerge w:val="continue"/>
            <w:shd w:val="clear" w:color="auto" w:fill="auto"/>
            <w:vAlign w:val="center"/>
          </w:tcPr>
          <w:p w14:paraId="48D62AFD">
            <w:pPr>
              <w:spacing w:line="240" w:lineRule="auto"/>
              <w:jc w:val="center"/>
              <w:rPr>
                <w:rFonts w:ascii="Times New Roman" w:hAnsi="Times New Roman"/>
                <w:sz w:val="18"/>
                <w:szCs w:val="18"/>
              </w:rPr>
            </w:pPr>
          </w:p>
        </w:tc>
        <w:tc>
          <w:tcPr>
            <w:tcW w:w="1134" w:type="dxa"/>
            <w:vMerge w:val="continue"/>
            <w:shd w:val="clear" w:color="auto" w:fill="auto"/>
            <w:vAlign w:val="center"/>
          </w:tcPr>
          <w:p w14:paraId="5B3C1183">
            <w:pPr>
              <w:spacing w:line="240" w:lineRule="auto"/>
              <w:jc w:val="center"/>
              <w:rPr>
                <w:rFonts w:ascii="Times New Roman" w:hAnsi="Times New Roman"/>
                <w:sz w:val="18"/>
                <w:szCs w:val="18"/>
              </w:rPr>
            </w:pPr>
          </w:p>
        </w:tc>
        <w:tc>
          <w:tcPr>
            <w:tcW w:w="2564" w:type="dxa"/>
            <w:vMerge w:val="continue"/>
            <w:shd w:val="clear" w:color="auto" w:fill="auto"/>
            <w:vAlign w:val="center"/>
          </w:tcPr>
          <w:p w14:paraId="2A78B41F">
            <w:pPr>
              <w:spacing w:line="240" w:lineRule="auto"/>
              <w:jc w:val="center"/>
              <w:rPr>
                <w:rFonts w:ascii="Times New Roman" w:hAnsi="Times New Roman"/>
                <w:sz w:val="18"/>
                <w:szCs w:val="18"/>
              </w:rPr>
            </w:pPr>
          </w:p>
        </w:tc>
        <w:tc>
          <w:tcPr>
            <w:tcW w:w="3820" w:type="dxa"/>
            <w:shd w:val="clear" w:color="auto" w:fill="auto"/>
            <w:vAlign w:val="center"/>
          </w:tcPr>
          <w:p w14:paraId="73A2C175">
            <w:pPr>
              <w:spacing w:line="240" w:lineRule="auto"/>
              <w:jc w:val="center"/>
              <w:rPr>
                <w:rFonts w:ascii="Times New Roman" w:hAnsi="Times New Roman"/>
                <w:sz w:val="18"/>
                <w:szCs w:val="18"/>
              </w:rPr>
            </w:pPr>
            <w:r>
              <w:rPr>
                <w:rFonts w:ascii="宋体" w:hAnsi="宋体" w:cs="宋体"/>
                <w:sz w:val="18"/>
                <w:szCs w:val="18"/>
              </w:rPr>
              <w:t>块状结构</w:t>
            </w:r>
          </w:p>
        </w:tc>
      </w:tr>
      <w:tr w14:paraId="61903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6B495574">
            <w:pPr>
              <w:spacing w:line="240" w:lineRule="auto"/>
              <w:jc w:val="center"/>
              <w:rPr>
                <w:rFonts w:ascii="Times New Roman" w:hAnsi="Times New Roman"/>
                <w:sz w:val="18"/>
                <w:szCs w:val="18"/>
              </w:rPr>
            </w:pPr>
          </w:p>
        </w:tc>
        <w:tc>
          <w:tcPr>
            <w:tcW w:w="1276" w:type="dxa"/>
            <w:vMerge w:val="continue"/>
            <w:shd w:val="clear" w:color="auto" w:fill="auto"/>
            <w:vAlign w:val="center"/>
          </w:tcPr>
          <w:p w14:paraId="77602FEF">
            <w:pPr>
              <w:spacing w:line="240" w:lineRule="auto"/>
              <w:jc w:val="center"/>
              <w:rPr>
                <w:rFonts w:ascii="Times New Roman" w:hAnsi="Times New Roman"/>
                <w:sz w:val="18"/>
                <w:szCs w:val="18"/>
              </w:rPr>
            </w:pPr>
          </w:p>
        </w:tc>
        <w:tc>
          <w:tcPr>
            <w:tcW w:w="1134" w:type="dxa"/>
            <w:vMerge w:val="continue"/>
            <w:shd w:val="clear" w:color="auto" w:fill="auto"/>
            <w:vAlign w:val="center"/>
          </w:tcPr>
          <w:p w14:paraId="401BDA23">
            <w:pPr>
              <w:spacing w:line="240" w:lineRule="auto"/>
              <w:jc w:val="center"/>
              <w:rPr>
                <w:rFonts w:ascii="Times New Roman" w:hAnsi="Times New Roman"/>
                <w:sz w:val="18"/>
                <w:szCs w:val="18"/>
              </w:rPr>
            </w:pPr>
          </w:p>
        </w:tc>
        <w:tc>
          <w:tcPr>
            <w:tcW w:w="2564" w:type="dxa"/>
            <w:vMerge w:val="restart"/>
            <w:shd w:val="clear" w:color="auto" w:fill="auto"/>
            <w:vAlign w:val="center"/>
          </w:tcPr>
          <w:p w14:paraId="078C435D">
            <w:pPr>
              <w:spacing w:line="240" w:lineRule="auto"/>
              <w:jc w:val="center"/>
              <w:rPr>
                <w:rFonts w:ascii="Times New Roman" w:hAnsi="Times New Roman"/>
                <w:sz w:val="18"/>
                <w:szCs w:val="18"/>
              </w:rPr>
            </w:pPr>
            <w:r>
              <w:rPr>
                <w:rFonts w:ascii="宋体" w:hAnsi="宋体" w:cs="宋体"/>
                <w:sz w:val="18"/>
                <w:szCs w:val="18"/>
              </w:rPr>
              <w:t>层状结构</w:t>
            </w:r>
          </w:p>
        </w:tc>
        <w:tc>
          <w:tcPr>
            <w:tcW w:w="3820" w:type="dxa"/>
            <w:shd w:val="clear" w:color="auto" w:fill="auto"/>
            <w:vAlign w:val="center"/>
          </w:tcPr>
          <w:p w14:paraId="2B0107AD">
            <w:pPr>
              <w:spacing w:line="240" w:lineRule="auto"/>
              <w:jc w:val="center"/>
              <w:rPr>
                <w:rFonts w:ascii="Times New Roman" w:hAnsi="Times New Roman"/>
                <w:sz w:val="18"/>
                <w:szCs w:val="18"/>
              </w:rPr>
            </w:pPr>
            <w:r>
              <w:rPr>
                <w:rFonts w:ascii="宋体" w:hAnsi="宋体" w:cs="宋体"/>
                <w:sz w:val="18"/>
                <w:szCs w:val="18"/>
              </w:rPr>
              <w:t>层状结构</w:t>
            </w:r>
          </w:p>
        </w:tc>
      </w:tr>
      <w:tr w14:paraId="0A07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74958CE8">
            <w:pPr>
              <w:spacing w:line="240" w:lineRule="auto"/>
              <w:jc w:val="center"/>
              <w:rPr>
                <w:rFonts w:ascii="Times New Roman" w:hAnsi="Times New Roman"/>
                <w:sz w:val="18"/>
                <w:szCs w:val="18"/>
              </w:rPr>
            </w:pPr>
          </w:p>
        </w:tc>
        <w:tc>
          <w:tcPr>
            <w:tcW w:w="1276" w:type="dxa"/>
            <w:vMerge w:val="continue"/>
            <w:shd w:val="clear" w:color="auto" w:fill="auto"/>
            <w:vAlign w:val="center"/>
          </w:tcPr>
          <w:p w14:paraId="284B8B35">
            <w:pPr>
              <w:spacing w:line="240" w:lineRule="auto"/>
              <w:jc w:val="center"/>
              <w:rPr>
                <w:rFonts w:ascii="Times New Roman" w:hAnsi="Times New Roman"/>
                <w:sz w:val="18"/>
                <w:szCs w:val="18"/>
              </w:rPr>
            </w:pPr>
          </w:p>
        </w:tc>
        <w:tc>
          <w:tcPr>
            <w:tcW w:w="1134" w:type="dxa"/>
            <w:vMerge w:val="continue"/>
            <w:shd w:val="clear" w:color="auto" w:fill="auto"/>
            <w:vAlign w:val="center"/>
          </w:tcPr>
          <w:p w14:paraId="75282B85">
            <w:pPr>
              <w:spacing w:line="240" w:lineRule="auto"/>
              <w:jc w:val="center"/>
              <w:rPr>
                <w:rFonts w:ascii="Times New Roman" w:hAnsi="Times New Roman"/>
                <w:sz w:val="18"/>
                <w:szCs w:val="18"/>
              </w:rPr>
            </w:pPr>
          </w:p>
        </w:tc>
        <w:tc>
          <w:tcPr>
            <w:tcW w:w="2564" w:type="dxa"/>
            <w:vMerge w:val="continue"/>
            <w:shd w:val="clear" w:color="auto" w:fill="auto"/>
            <w:vAlign w:val="center"/>
          </w:tcPr>
          <w:p w14:paraId="211A8128">
            <w:pPr>
              <w:spacing w:line="240" w:lineRule="auto"/>
              <w:jc w:val="center"/>
              <w:rPr>
                <w:rFonts w:ascii="Times New Roman" w:hAnsi="Times New Roman"/>
                <w:sz w:val="18"/>
                <w:szCs w:val="18"/>
              </w:rPr>
            </w:pPr>
          </w:p>
        </w:tc>
        <w:tc>
          <w:tcPr>
            <w:tcW w:w="3820" w:type="dxa"/>
            <w:shd w:val="clear" w:color="auto" w:fill="auto"/>
            <w:vAlign w:val="center"/>
          </w:tcPr>
          <w:p w14:paraId="10D9AE7B">
            <w:pPr>
              <w:spacing w:line="240" w:lineRule="auto"/>
              <w:jc w:val="center"/>
              <w:rPr>
                <w:rFonts w:ascii="Times New Roman" w:hAnsi="Times New Roman"/>
                <w:sz w:val="18"/>
                <w:szCs w:val="18"/>
              </w:rPr>
            </w:pPr>
            <w:r>
              <w:rPr>
                <w:rFonts w:ascii="宋体" w:hAnsi="宋体" w:cs="宋体"/>
                <w:sz w:val="18"/>
                <w:szCs w:val="18"/>
              </w:rPr>
              <w:t>薄层状结构</w:t>
            </w:r>
          </w:p>
        </w:tc>
      </w:tr>
      <w:tr w14:paraId="5B14B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573E0986">
            <w:pPr>
              <w:spacing w:line="240" w:lineRule="auto"/>
              <w:jc w:val="center"/>
              <w:rPr>
                <w:rFonts w:ascii="Times New Roman" w:hAnsi="Times New Roman"/>
                <w:sz w:val="18"/>
                <w:szCs w:val="18"/>
              </w:rPr>
            </w:pPr>
          </w:p>
        </w:tc>
        <w:tc>
          <w:tcPr>
            <w:tcW w:w="1276" w:type="dxa"/>
            <w:vMerge w:val="continue"/>
            <w:shd w:val="clear" w:color="auto" w:fill="auto"/>
            <w:vAlign w:val="center"/>
          </w:tcPr>
          <w:p w14:paraId="02002BCE">
            <w:pPr>
              <w:spacing w:line="240" w:lineRule="auto"/>
              <w:jc w:val="center"/>
              <w:rPr>
                <w:rFonts w:ascii="Times New Roman" w:hAnsi="Times New Roman"/>
                <w:sz w:val="18"/>
                <w:szCs w:val="18"/>
              </w:rPr>
            </w:pPr>
          </w:p>
        </w:tc>
        <w:tc>
          <w:tcPr>
            <w:tcW w:w="1134" w:type="dxa"/>
            <w:vMerge w:val="continue"/>
            <w:shd w:val="clear" w:color="auto" w:fill="auto"/>
            <w:vAlign w:val="center"/>
          </w:tcPr>
          <w:p w14:paraId="5B9D344F">
            <w:pPr>
              <w:spacing w:line="240" w:lineRule="auto"/>
              <w:jc w:val="center"/>
              <w:rPr>
                <w:rFonts w:ascii="Times New Roman" w:hAnsi="Times New Roman"/>
                <w:sz w:val="18"/>
                <w:szCs w:val="18"/>
              </w:rPr>
            </w:pPr>
          </w:p>
        </w:tc>
        <w:tc>
          <w:tcPr>
            <w:tcW w:w="2564" w:type="dxa"/>
            <w:vMerge w:val="restart"/>
            <w:shd w:val="clear" w:color="auto" w:fill="auto"/>
            <w:vAlign w:val="center"/>
          </w:tcPr>
          <w:p w14:paraId="38EC9690">
            <w:pPr>
              <w:spacing w:line="240" w:lineRule="auto"/>
              <w:jc w:val="center"/>
              <w:rPr>
                <w:rFonts w:ascii="Times New Roman" w:hAnsi="Times New Roman"/>
                <w:sz w:val="18"/>
                <w:szCs w:val="18"/>
              </w:rPr>
            </w:pPr>
            <w:r>
              <w:rPr>
                <w:rFonts w:ascii="宋体" w:hAnsi="宋体" w:cs="宋体"/>
                <w:sz w:val="18"/>
                <w:szCs w:val="18"/>
              </w:rPr>
              <w:t>碎裂状结构</w:t>
            </w:r>
          </w:p>
        </w:tc>
        <w:tc>
          <w:tcPr>
            <w:tcW w:w="3820" w:type="dxa"/>
            <w:shd w:val="clear" w:color="auto" w:fill="auto"/>
            <w:vAlign w:val="center"/>
          </w:tcPr>
          <w:p w14:paraId="6758F750">
            <w:pPr>
              <w:spacing w:line="240" w:lineRule="auto"/>
              <w:jc w:val="center"/>
              <w:rPr>
                <w:rFonts w:ascii="Times New Roman" w:hAnsi="Times New Roman"/>
                <w:sz w:val="18"/>
                <w:szCs w:val="18"/>
              </w:rPr>
            </w:pPr>
            <w:r>
              <w:rPr>
                <w:rFonts w:ascii="宋体" w:hAnsi="宋体" w:cs="宋体"/>
                <w:sz w:val="18"/>
                <w:szCs w:val="18"/>
              </w:rPr>
              <w:t>镶嵌结构</w:t>
            </w:r>
          </w:p>
        </w:tc>
      </w:tr>
      <w:tr w14:paraId="47BB3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44136434">
            <w:pPr>
              <w:spacing w:line="240" w:lineRule="auto"/>
              <w:jc w:val="center"/>
              <w:rPr>
                <w:rFonts w:ascii="Times New Roman" w:hAnsi="Times New Roman"/>
                <w:sz w:val="18"/>
                <w:szCs w:val="18"/>
              </w:rPr>
            </w:pPr>
          </w:p>
        </w:tc>
        <w:tc>
          <w:tcPr>
            <w:tcW w:w="1276" w:type="dxa"/>
            <w:vMerge w:val="continue"/>
            <w:shd w:val="clear" w:color="auto" w:fill="auto"/>
            <w:vAlign w:val="center"/>
          </w:tcPr>
          <w:p w14:paraId="36F7FE93">
            <w:pPr>
              <w:spacing w:line="240" w:lineRule="auto"/>
              <w:jc w:val="center"/>
              <w:rPr>
                <w:rFonts w:ascii="Times New Roman" w:hAnsi="Times New Roman"/>
                <w:sz w:val="18"/>
                <w:szCs w:val="18"/>
              </w:rPr>
            </w:pPr>
          </w:p>
        </w:tc>
        <w:tc>
          <w:tcPr>
            <w:tcW w:w="1134" w:type="dxa"/>
            <w:vMerge w:val="continue"/>
            <w:shd w:val="clear" w:color="auto" w:fill="auto"/>
            <w:vAlign w:val="center"/>
          </w:tcPr>
          <w:p w14:paraId="62EE2584">
            <w:pPr>
              <w:spacing w:line="240" w:lineRule="auto"/>
              <w:jc w:val="center"/>
              <w:rPr>
                <w:rFonts w:ascii="Times New Roman" w:hAnsi="Times New Roman"/>
                <w:sz w:val="18"/>
                <w:szCs w:val="18"/>
              </w:rPr>
            </w:pPr>
          </w:p>
        </w:tc>
        <w:tc>
          <w:tcPr>
            <w:tcW w:w="2564" w:type="dxa"/>
            <w:vMerge w:val="continue"/>
            <w:shd w:val="clear" w:color="auto" w:fill="auto"/>
            <w:vAlign w:val="center"/>
          </w:tcPr>
          <w:p w14:paraId="65222A2B">
            <w:pPr>
              <w:spacing w:line="240" w:lineRule="auto"/>
              <w:jc w:val="center"/>
              <w:rPr>
                <w:rFonts w:ascii="Times New Roman" w:hAnsi="Times New Roman"/>
                <w:sz w:val="18"/>
                <w:szCs w:val="18"/>
              </w:rPr>
            </w:pPr>
          </w:p>
        </w:tc>
        <w:tc>
          <w:tcPr>
            <w:tcW w:w="3820" w:type="dxa"/>
            <w:shd w:val="clear" w:color="auto" w:fill="auto"/>
            <w:vAlign w:val="center"/>
          </w:tcPr>
          <w:p w14:paraId="6AB89F11">
            <w:pPr>
              <w:spacing w:line="240" w:lineRule="auto"/>
              <w:jc w:val="center"/>
              <w:rPr>
                <w:rFonts w:ascii="Times New Roman" w:hAnsi="Times New Roman"/>
                <w:sz w:val="18"/>
                <w:szCs w:val="18"/>
              </w:rPr>
            </w:pPr>
            <w:r>
              <w:rPr>
                <w:rFonts w:ascii="宋体" w:hAnsi="宋体" w:cs="宋体"/>
                <w:sz w:val="18"/>
                <w:szCs w:val="18"/>
              </w:rPr>
              <w:t>层状碎裂结构</w:t>
            </w:r>
          </w:p>
        </w:tc>
      </w:tr>
      <w:tr w14:paraId="1A6B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74D8F0D3">
            <w:pPr>
              <w:spacing w:line="240" w:lineRule="auto"/>
              <w:jc w:val="center"/>
              <w:rPr>
                <w:rFonts w:ascii="Times New Roman" w:hAnsi="Times New Roman"/>
                <w:sz w:val="18"/>
                <w:szCs w:val="18"/>
              </w:rPr>
            </w:pPr>
          </w:p>
        </w:tc>
        <w:tc>
          <w:tcPr>
            <w:tcW w:w="1276" w:type="dxa"/>
            <w:vMerge w:val="continue"/>
            <w:shd w:val="clear" w:color="auto" w:fill="auto"/>
            <w:vAlign w:val="center"/>
          </w:tcPr>
          <w:p w14:paraId="419BCE8E">
            <w:pPr>
              <w:spacing w:line="240" w:lineRule="auto"/>
              <w:jc w:val="center"/>
              <w:rPr>
                <w:rFonts w:ascii="Times New Roman" w:hAnsi="Times New Roman"/>
                <w:sz w:val="18"/>
                <w:szCs w:val="18"/>
              </w:rPr>
            </w:pPr>
          </w:p>
        </w:tc>
        <w:tc>
          <w:tcPr>
            <w:tcW w:w="1134" w:type="dxa"/>
            <w:vMerge w:val="continue"/>
            <w:shd w:val="clear" w:color="auto" w:fill="auto"/>
            <w:vAlign w:val="center"/>
          </w:tcPr>
          <w:p w14:paraId="114FF9D3">
            <w:pPr>
              <w:spacing w:line="240" w:lineRule="auto"/>
              <w:jc w:val="center"/>
              <w:rPr>
                <w:rFonts w:ascii="Times New Roman" w:hAnsi="Times New Roman"/>
                <w:sz w:val="18"/>
                <w:szCs w:val="18"/>
              </w:rPr>
            </w:pPr>
          </w:p>
        </w:tc>
        <w:tc>
          <w:tcPr>
            <w:tcW w:w="2564" w:type="dxa"/>
            <w:vMerge w:val="continue"/>
            <w:shd w:val="clear" w:color="auto" w:fill="auto"/>
            <w:vAlign w:val="center"/>
          </w:tcPr>
          <w:p w14:paraId="442FDE22">
            <w:pPr>
              <w:spacing w:line="240" w:lineRule="auto"/>
              <w:jc w:val="center"/>
              <w:rPr>
                <w:rFonts w:ascii="Times New Roman" w:hAnsi="Times New Roman"/>
                <w:sz w:val="18"/>
                <w:szCs w:val="18"/>
              </w:rPr>
            </w:pPr>
          </w:p>
        </w:tc>
        <w:tc>
          <w:tcPr>
            <w:tcW w:w="3820" w:type="dxa"/>
            <w:shd w:val="clear" w:color="auto" w:fill="auto"/>
            <w:vAlign w:val="center"/>
          </w:tcPr>
          <w:p w14:paraId="7B6986F4">
            <w:pPr>
              <w:spacing w:line="240" w:lineRule="auto"/>
              <w:jc w:val="center"/>
              <w:rPr>
                <w:rFonts w:ascii="Times New Roman" w:hAnsi="Times New Roman"/>
                <w:sz w:val="18"/>
                <w:szCs w:val="18"/>
              </w:rPr>
            </w:pPr>
            <w:r>
              <w:rPr>
                <w:rFonts w:ascii="宋体" w:hAnsi="宋体" w:cs="宋体"/>
                <w:sz w:val="18"/>
                <w:szCs w:val="18"/>
              </w:rPr>
              <w:t>碎裂结构</w:t>
            </w:r>
          </w:p>
        </w:tc>
      </w:tr>
      <w:tr w14:paraId="10FB6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1F65157F">
            <w:pPr>
              <w:spacing w:line="240" w:lineRule="auto"/>
              <w:jc w:val="center"/>
              <w:rPr>
                <w:rFonts w:ascii="Times New Roman" w:hAnsi="Times New Roman"/>
                <w:sz w:val="18"/>
                <w:szCs w:val="18"/>
              </w:rPr>
            </w:pPr>
          </w:p>
        </w:tc>
        <w:tc>
          <w:tcPr>
            <w:tcW w:w="1276" w:type="dxa"/>
            <w:vMerge w:val="continue"/>
            <w:shd w:val="clear" w:color="auto" w:fill="auto"/>
            <w:vAlign w:val="center"/>
          </w:tcPr>
          <w:p w14:paraId="03F66DED">
            <w:pPr>
              <w:spacing w:line="240" w:lineRule="auto"/>
              <w:jc w:val="center"/>
              <w:rPr>
                <w:rFonts w:ascii="Times New Roman" w:hAnsi="Times New Roman"/>
                <w:sz w:val="18"/>
                <w:szCs w:val="18"/>
              </w:rPr>
            </w:pPr>
          </w:p>
        </w:tc>
        <w:tc>
          <w:tcPr>
            <w:tcW w:w="1134" w:type="dxa"/>
            <w:vMerge w:val="continue"/>
            <w:shd w:val="clear" w:color="auto" w:fill="auto"/>
            <w:vAlign w:val="center"/>
          </w:tcPr>
          <w:p w14:paraId="1FE3C6D6">
            <w:pPr>
              <w:spacing w:line="240" w:lineRule="auto"/>
              <w:jc w:val="center"/>
              <w:rPr>
                <w:rFonts w:ascii="Times New Roman" w:hAnsi="Times New Roman"/>
                <w:sz w:val="18"/>
                <w:szCs w:val="18"/>
              </w:rPr>
            </w:pPr>
          </w:p>
        </w:tc>
        <w:tc>
          <w:tcPr>
            <w:tcW w:w="2564" w:type="dxa"/>
            <w:shd w:val="clear" w:color="auto" w:fill="auto"/>
            <w:vAlign w:val="center"/>
          </w:tcPr>
          <w:p w14:paraId="004FB9E4">
            <w:pPr>
              <w:spacing w:line="240" w:lineRule="auto"/>
              <w:jc w:val="center"/>
              <w:rPr>
                <w:rFonts w:ascii="Times New Roman" w:hAnsi="Times New Roman"/>
                <w:sz w:val="18"/>
                <w:szCs w:val="18"/>
              </w:rPr>
            </w:pPr>
            <w:r>
              <w:rPr>
                <w:rFonts w:ascii="宋体" w:hAnsi="宋体" w:cs="宋体"/>
                <w:sz w:val="18"/>
                <w:szCs w:val="18"/>
              </w:rPr>
              <w:t>散体状结构</w:t>
            </w:r>
          </w:p>
        </w:tc>
        <w:tc>
          <w:tcPr>
            <w:tcW w:w="3820" w:type="dxa"/>
            <w:shd w:val="clear" w:color="auto" w:fill="auto"/>
            <w:vAlign w:val="center"/>
          </w:tcPr>
          <w:p w14:paraId="0D9B1182">
            <w:pPr>
              <w:spacing w:line="240" w:lineRule="auto"/>
              <w:jc w:val="center"/>
              <w:rPr>
                <w:rFonts w:ascii="Times New Roman" w:hAnsi="Times New Roman"/>
                <w:sz w:val="18"/>
                <w:szCs w:val="18"/>
              </w:rPr>
            </w:pPr>
            <w:r>
              <w:rPr>
                <w:rFonts w:ascii="宋体" w:hAnsi="宋体" w:cs="宋体"/>
                <w:sz w:val="18"/>
                <w:szCs w:val="18"/>
              </w:rPr>
              <w:t>散体结构</w:t>
            </w:r>
          </w:p>
        </w:tc>
      </w:tr>
      <w:tr w14:paraId="68BEF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shd w:val="clear" w:color="auto" w:fill="auto"/>
            <w:vAlign w:val="center"/>
          </w:tcPr>
          <w:p w14:paraId="186F6C1C">
            <w:pPr>
              <w:spacing w:line="240" w:lineRule="auto"/>
              <w:jc w:val="center"/>
              <w:rPr>
                <w:rFonts w:ascii="Times New Roman" w:hAnsi="Times New Roman"/>
                <w:sz w:val="18"/>
                <w:szCs w:val="18"/>
              </w:rPr>
            </w:pPr>
            <w:r>
              <w:rPr>
                <w:rFonts w:hint="eastAsia" w:ascii="Times New Roman" w:hAnsi="Times New Roman"/>
                <w:sz w:val="18"/>
                <w:szCs w:val="18"/>
              </w:rPr>
              <w:t>7</w:t>
            </w:r>
          </w:p>
        </w:tc>
        <w:tc>
          <w:tcPr>
            <w:tcW w:w="1276" w:type="dxa"/>
            <w:vMerge w:val="continue"/>
            <w:shd w:val="clear" w:color="auto" w:fill="auto"/>
            <w:vAlign w:val="center"/>
          </w:tcPr>
          <w:p w14:paraId="05933676">
            <w:pPr>
              <w:spacing w:line="240" w:lineRule="auto"/>
              <w:jc w:val="center"/>
              <w:rPr>
                <w:rFonts w:ascii="Times New Roman" w:hAnsi="Times New Roman"/>
                <w:sz w:val="18"/>
                <w:szCs w:val="18"/>
              </w:rPr>
            </w:pPr>
          </w:p>
        </w:tc>
        <w:tc>
          <w:tcPr>
            <w:tcW w:w="1134" w:type="dxa"/>
            <w:vMerge w:val="restart"/>
            <w:shd w:val="clear" w:color="auto" w:fill="auto"/>
            <w:vAlign w:val="center"/>
          </w:tcPr>
          <w:p w14:paraId="7B9D130E">
            <w:pPr>
              <w:spacing w:line="240" w:lineRule="auto"/>
              <w:jc w:val="center"/>
              <w:rPr>
                <w:rFonts w:ascii="Times New Roman" w:hAnsi="Times New Roman"/>
                <w:sz w:val="18"/>
                <w:szCs w:val="18"/>
              </w:rPr>
            </w:pPr>
            <w:r>
              <w:rPr>
                <w:rFonts w:ascii="Times New Roman" w:hAnsi="Times New Roman"/>
                <w:sz w:val="18"/>
                <w:szCs w:val="18"/>
              </w:rPr>
              <w:t>斜坡结构</w:t>
            </w:r>
          </w:p>
        </w:tc>
        <w:tc>
          <w:tcPr>
            <w:tcW w:w="2564" w:type="dxa"/>
            <w:vMerge w:val="restart"/>
            <w:shd w:val="clear" w:color="auto" w:fill="auto"/>
            <w:vAlign w:val="center"/>
          </w:tcPr>
          <w:p w14:paraId="53F0E957">
            <w:pPr>
              <w:spacing w:line="240" w:lineRule="auto"/>
              <w:jc w:val="center"/>
              <w:rPr>
                <w:rFonts w:ascii="Times New Roman" w:hAnsi="Times New Roman"/>
                <w:sz w:val="18"/>
                <w:szCs w:val="18"/>
              </w:rPr>
            </w:pPr>
            <w:r>
              <w:rPr>
                <w:rFonts w:ascii="Times New Roman" w:hAnsi="Times New Roman"/>
                <w:sz w:val="18"/>
                <w:szCs w:val="18"/>
              </w:rPr>
              <w:t>顺斜坡</w:t>
            </w:r>
          </w:p>
        </w:tc>
        <w:tc>
          <w:tcPr>
            <w:tcW w:w="3820" w:type="dxa"/>
            <w:shd w:val="clear" w:color="auto" w:fill="auto"/>
            <w:vAlign w:val="center"/>
          </w:tcPr>
          <w:p w14:paraId="5C34982E">
            <w:pPr>
              <w:spacing w:line="240" w:lineRule="auto"/>
              <w:jc w:val="center"/>
              <w:rPr>
                <w:rFonts w:ascii="Times New Roman" w:hAnsi="Times New Roman"/>
                <w:sz w:val="18"/>
                <w:szCs w:val="18"/>
              </w:rPr>
            </w:pPr>
            <w:r>
              <w:rPr>
                <w:rFonts w:ascii="Times New Roman" w:hAnsi="Times New Roman"/>
                <w:sz w:val="18"/>
                <w:szCs w:val="18"/>
              </w:rPr>
              <w:t>飘倾坡</w:t>
            </w:r>
          </w:p>
        </w:tc>
      </w:tr>
      <w:tr w14:paraId="4D705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00A0B56D">
            <w:pPr>
              <w:spacing w:line="240" w:lineRule="auto"/>
              <w:jc w:val="center"/>
              <w:rPr>
                <w:rFonts w:ascii="Times New Roman" w:hAnsi="Times New Roman"/>
                <w:sz w:val="18"/>
                <w:szCs w:val="18"/>
              </w:rPr>
            </w:pPr>
          </w:p>
        </w:tc>
        <w:tc>
          <w:tcPr>
            <w:tcW w:w="1276" w:type="dxa"/>
            <w:vMerge w:val="continue"/>
            <w:shd w:val="clear" w:color="auto" w:fill="auto"/>
            <w:vAlign w:val="center"/>
          </w:tcPr>
          <w:p w14:paraId="305CC069">
            <w:pPr>
              <w:spacing w:line="240" w:lineRule="auto"/>
              <w:jc w:val="center"/>
              <w:rPr>
                <w:rFonts w:ascii="Times New Roman" w:hAnsi="Times New Roman"/>
                <w:sz w:val="18"/>
                <w:szCs w:val="18"/>
              </w:rPr>
            </w:pPr>
          </w:p>
        </w:tc>
        <w:tc>
          <w:tcPr>
            <w:tcW w:w="1134" w:type="dxa"/>
            <w:vMerge w:val="continue"/>
            <w:shd w:val="clear" w:color="auto" w:fill="auto"/>
            <w:vAlign w:val="center"/>
          </w:tcPr>
          <w:p w14:paraId="714E3D41">
            <w:pPr>
              <w:spacing w:line="240" w:lineRule="auto"/>
              <w:jc w:val="center"/>
              <w:rPr>
                <w:rFonts w:ascii="Times New Roman" w:hAnsi="Times New Roman"/>
                <w:sz w:val="18"/>
                <w:szCs w:val="18"/>
              </w:rPr>
            </w:pPr>
          </w:p>
        </w:tc>
        <w:tc>
          <w:tcPr>
            <w:tcW w:w="2564" w:type="dxa"/>
            <w:vMerge w:val="continue"/>
            <w:shd w:val="clear" w:color="auto" w:fill="auto"/>
            <w:vAlign w:val="center"/>
          </w:tcPr>
          <w:p w14:paraId="6190EC65">
            <w:pPr>
              <w:spacing w:line="240" w:lineRule="auto"/>
              <w:jc w:val="center"/>
              <w:rPr>
                <w:rFonts w:ascii="Times New Roman" w:hAnsi="Times New Roman"/>
                <w:sz w:val="18"/>
                <w:szCs w:val="18"/>
              </w:rPr>
            </w:pPr>
          </w:p>
        </w:tc>
        <w:tc>
          <w:tcPr>
            <w:tcW w:w="3820" w:type="dxa"/>
            <w:shd w:val="clear" w:color="auto" w:fill="auto"/>
            <w:vAlign w:val="center"/>
          </w:tcPr>
          <w:p w14:paraId="0FC9D801">
            <w:pPr>
              <w:spacing w:line="240" w:lineRule="auto"/>
              <w:jc w:val="center"/>
              <w:rPr>
                <w:rFonts w:ascii="Times New Roman" w:hAnsi="Times New Roman"/>
                <w:sz w:val="18"/>
                <w:szCs w:val="18"/>
              </w:rPr>
            </w:pPr>
            <w:r>
              <w:rPr>
                <w:rFonts w:ascii="Times New Roman" w:hAnsi="Times New Roman"/>
                <w:sz w:val="18"/>
                <w:szCs w:val="18"/>
              </w:rPr>
              <w:t>层面坡</w:t>
            </w:r>
          </w:p>
        </w:tc>
      </w:tr>
      <w:tr w14:paraId="1725F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697091BB">
            <w:pPr>
              <w:spacing w:line="240" w:lineRule="auto"/>
              <w:jc w:val="center"/>
              <w:rPr>
                <w:rFonts w:ascii="Times New Roman" w:hAnsi="Times New Roman"/>
                <w:sz w:val="18"/>
                <w:szCs w:val="18"/>
              </w:rPr>
            </w:pPr>
          </w:p>
        </w:tc>
        <w:tc>
          <w:tcPr>
            <w:tcW w:w="1276" w:type="dxa"/>
            <w:vMerge w:val="continue"/>
            <w:shd w:val="clear" w:color="auto" w:fill="auto"/>
            <w:vAlign w:val="center"/>
          </w:tcPr>
          <w:p w14:paraId="1E93AB6C">
            <w:pPr>
              <w:spacing w:line="240" w:lineRule="auto"/>
              <w:jc w:val="center"/>
              <w:rPr>
                <w:rFonts w:ascii="Times New Roman" w:hAnsi="Times New Roman"/>
                <w:sz w:val="18"/>
                <w:szCs w:val="18"/>
              </w:rPr>
            </w:pPr>
          </w:p>
        </w:tc>
        <w:tc>
          <w:tcPr>
            <w:tcW w:w="1134" w:type="dxa"/>
            <w:vMerge w:val="continue"/>
            <w:shd w:val="clear" w:color="auto" w:fill="auto"/>
            <w:vAlign w:val="center"/>
          </w:tcPr>
          <w:p w14:paraId="222404B6">
            <w:pPr>
              <w:spacing w:line="240" w:lineRule="auto"/>
              <w:jc w:val="center"/>
              <w:rPr>
                <w:rFonts w:ascii="Times New Roman" w:hAnsi="Times New Roman"/>
                <w:sz w:val="18"/>
                <w:szCs w:val="18"/>
              </w:rPr>
            </w:pPr>
          </w:p>
        </w:tc>
        <w:tc>
          <w:tcPr>
            <w:tcW w:w="2564" w:type="dxa"/>
            <w:vMerge w:val="continue"/>
            <w:shd w:val="clear" w:color="auto" w:fill="auto"/>
            <w:vAlign w:val="center"/>
          </w:tcPr>
          <w:p w14:paraId="5AD56F9D">
            <w:pPr>
              <w:spacing w:line="240" w:lineRule="auto"/>
              <w:jc w:val="center"/>
              <w:rPr>
                <w:rFonts w:ascii="Times New Roman" w:hAnsi="Times New Roman"/>
                <w:sz w:val="18"/>
                <w:szCs w:val="18"/>
              </w:rPr>
            </w:pPr>
          </w:p>
        </w:tc>
        <w:tc>
          <w:tcPr>
            <w:tcW w:w="3820" w:type="dxa"/>
            <w:shd w:val="clear" w:color="auto" w:fill="auto"/>
            <w:vAlign w:val="center"/>
          </w:tcPr>
          <w:p w14:paraId="4927CE66">
            <w:pPr>
              <w:spacing w:line="240" w:lineRule="auto"/>
              <w:jc w:val="center"/>
              <w:rPr>
                <w:rFonts w:ascii="Times New Roman" w:hAnsi="Times New Roman"/>
                <w:sz w:val="18"/>
                <w:szCs w:val="18"/>
              </w:rPr>
            </w:pPr>
            <w:r>
              <w:rPr>
                <w:rFonts w:ascii="Times New Roman" w:hAnsi="Times New Roman"/>
                <w:sz w:val="18"/>
                <w:szCs w:val="18"/>
              </w:rPr>
              <w:t>伏倾坡</w:t>
            </w:r>
          </w:p>
        </w:tc>
      </w:tr>
      <w:tr w14:paraId="38EB4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274B950C">
            <w:pPr>
              <w:spacing w:line="240" w:lineRule="auto"/>
              <w:jc w:val="center"/>
              <w:rPr>
                <w:rFonts w:ascii="Times New Roman" w:hAnsi="Times New Roman"/>
                <w:sz w:val="18"/>
                <w:szCs w:val="18"/>
              </w:rPr>
            </w:pPr>
          </w:p>
        </w:tc>
        <w:tc>
          <w:tcPr>
            <w:tcW w:w="1276" w:type="dxa"/>
            <w:vMerge w:val="continue"/>
            <w:shd w:val="clear" w:color="auto" w:fill="auto"/>
            <w:vAlign w:val="center"/>
          </w:tcPr>
          <w:p w14:paraId="19A1A6C2">
            <w:pPr>
              <w:spacing w:line="240" w:lineRule="auto"/>
              <w:jc w:val="center"/>
              <w:rPr>
                <w:rFonts w:ascii="Times New Roman" w:hAnsi="Times New Roman"/>
                <w:sz w:val="18"/>
                <w:szCs w:val="18"/>
              </w:rPr>
            </w:pPr>
          </w:p>
        </w:tc>
        <w:tc>
          <w:tcPr>
            <w:tcW w:w="1134" w:type="dxa"/>
            <w:vMerge w:val="continue"/>
            <w:shd w:val="clear" w:color="auto" w:fill="auto"/>
            <w:vAlign w:val="center"/>
          </w:tcPr>
          <w:p w14:paraId="69871932">
            <w:pPr>
              <w:spacing w:line="240" w:lineRule="auto"/>
              <w:jc w:val="center"/>
              <w:rPr>
                <w:rFonts w:ascii="Times New Roman" w:hAnsi="Times New Roman"/>
                <w:sz w:val="18"/>
                <w:szCs w:val="18"/>
              </w:rPr>
            </w:pPr>
          </w:p>
        </w:tc>
        <w:tc>
          <w:tcPr>
            <w:tcW w:w="6384" w:type="dxa"/>
            <w:gridSpan w:val="2"/>
            <w:shd w:val="clear" w:color="auto" w:fill="auto"/>
            <w:vAlign w:val="center"/>
          </w:tcPr>
          <w:p w14:paraId="7EDE8042">
            <w:pPr>
              <w:spacing w:line="240" w:lineRule="auto"/>
              <w:jc w:val="center"/>
              <w:rPr>
                <w:rFonts w:ascii="Times New Roman" w:hAnsi="Times New Roman"/>
                <w:sz w:val="18"/>
                <w:szCs w:val="18"/>
              </w:rPr>
            </w:pPr>
            <w:r>
              <w:rPr>
                <w:rFonts w:ascii="Times New Roman" w:hAnsi="Times New Roman"/>
                <w:sz w:val="18"/>
                <w:szCs w:val="18"/>
              </w:rPr>
              <w:t>斜向坡</w:t>
            </w:r>
          </w:p>
        </w:tc>
      </w:tr>
      <w:tr w14:paraId="4C173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36612DA3">
            <w:pPr>
              <w:spacing w:line="240" w:lineRule="auto"/>
              <w:jc w:val="center"/>
              <w:rPr>
                <w:rFonts w:ascii="Times New Roman" w:hAnsi="Times New Roman"/>
                <w:sz w:val="18"/>
                <w:szCs w:val="18"/>
              </w:rPr>
            </w:pPr>
          </w:p>
        </w:tc>
        <w:tc>
          <w:tcPr>
            <w:tcW w:w="1276" w:type="dxa"/>
            <w:vMerge w:val="continue"/>
            <w:shd w:val="clear" w:color="auto" w:fill="auto"/>
            <w:vAlign w:val="center"/>
          </w:tcPr>
          <w:p w14:paraId="4920889A">
            <w:pPr>
              <w:spacing w:line="240" w:lineRule="auto"/>
              <w:jc w:val="center"/>
              <w:rPr>
                <w:rFonts w:ascii="Times New Roman" w:hAnsi="Times New Roman"/>
                <w:sz w:val="18"/>
                <w:szCs w:val="18"/>
              </w:rPr>
            </w:pPr>
          </w:p>
        </w:tc>
        <w:tc>
          <w:tcPr>
            <w:tcW w:w="1134" w:type="dxa"/>
            <w:vMerge w:val="continue"/>
            <w:shd w:val="clear" w:color="auto" w:fill="auto"/>
            <w:vAlign w:val="center"/>
          </w:tcPr>
          <w:p w14:paraId="0025533E">
            <w:pPr>
              <w:spacing w:line="240" w:lineRule="auto"/>
              <w:jc w:val="center"/>
              <w:rPr>
                <w:rFonts w:ascii="Times New Roman" w:hAnsi="Times New Roman"/>
                <w:sz w:val="18"/>
                <w:szCs w:val="18"/>
              </w:rPr>
            </w:pPr>
          </w:p>
        </w:tc>
        <w:tc>
          <w:tcPr>
            <w:tcW w:w="6384" w:type="dxa"/>
            <w:gridSpan w:val="2"/>
            <w:shd w:val="clear" w:color="auto" w:fill="auto"/>
            <w:vAlign w:val="center"/>
          </w:tcPr>
          <w:p w14:paraId="32F71617">
            <w:pPr>
              <w:spacing w:line="240" w:lineRule="auto"/>
              <w:jc w:val="center"/>
              <w:rPr>
                <w:rFonts w:ascii="Times New Roman" w:hAnsi="Times New Roman"/>
                <w:sz w:val="18"/>
                <w:szCs w:val="18"/>
              </w:rPr>
            </w:pPr>
            <w:r>
              <w:rPr>
                <w:rFonts w:ascii="Times New Roman" w:hAnsi="Times New Roman"/>
                <w:sz w:val="18"/>
                <w:szCs w:val="18"/>
              </w:rPr>
              <w:t>横向坡</w:t>
            </w:r>
          </w:p>
        </w:tc>
      </w:tr>
    </w:tbl>
    <w:p w14:paraId="45F07359">
      <w:pPr>
        <w:pStyle w:val="58"/>
        <w:pageBreakBefore/>
        <w:spacing w:before="156" w:beforeLines="50" w:after="156" w:afterLines="50"/>
        <w:ind w:firstLine="0" w:firstLineChars="0"/>
        <w:jc w:val="center"/>
        <w:rPr>
          <w:rFonts w:ascii="黑体" w:hAnsi="黑体" w:eastAsia="黑体"/>
        </w:rPr>
      </w:pPr>
      <w:r>
        <w:rPr>
          <w:rFonts w:hint="eastAsia" w:ascii="黑体" w:hAnsi="黑体" w:eastAsia="黑体"/>
        </w:rPr>
        <w:t>表I.1  斜坡地质灾害易发性综合指数指标选取参考表</w:t>
      </w:r>
      <w:r>
        <w:rPr>
          <w:rFonts w:hint="eastAsia" w:hAnsi="宋体"/>
        </w:rPr>
        <w:t>（续）</w:t>
      </w:r>
    </w:p>
    <w:tbl>
      <w:tblPr>
        <w:tblStyle w:val="28"/>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276"/>
        <w:gridCol w:w="1134"/>
        <w:gridCol w:w="6384"/>
      </w:tblGrid>
      <w:tr w14:paraId="77E33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jc w:val="center"/>
        </w:trPr>
        <w:tc>
          <w:tcPr>
            <w:tcW w:w="704" w:type="dxa"/>
            <w:vMerge w:val="restart"/>
            <w:shd w:val="clear" w:color="auto" w:fill="auto"/>
            <w:vAlign w:val="center"/>
          </w:tcPr>
          <w:p w14:paraId="3485E62A">
            <w:pPr>
              <w:spacing w:line="240" w:lineRule="auto"/>
              <w:jc w:val="center"/>
              <w:rPr>
                <w:rFonts w:ascii="Times New Roman" w:hAnsi="Times New Roman"/>
                <w:sz w:val="18"/>
                <w:szCs w:val="18"/>
              </w:rPr>
            </w:pPr>
            <w:r>
              <w:rPr>
                <w:rFonts w:hint="eastAsia" w:ascii="Times New Roman" w:hAnsi="Times New Roman"/>
                <w:sz w:val="18"/>
                <w:szCs w:val="18"/>
              </w:rPr>
              <w:t>序号</w:t>
            </w:r>
          </w:p>
        </w:tc>
        <w:tc>
          <w:tcPr>
            <w:tcW w:w="8794" w:type="dxa"/>
            <w:gridSpan w:val="3"/>
            <w:shd w:val="clear" w:color="auto" w:fill="auto"/>
            <w:vAlign w:val="center"/>
          </w:tcPr>
          <w:p w14:paraId="0FDBA204">
            <w:pPr>
              <w:spacing w:line="240" w:lineRule="auto"/>
              <w:jc w:val="center"/>
              <w:rPr>
                <w:rFonts w:ascii="Times New Roman" w:hAnsi="Times New Roman"/>
                <w:sz w:val="18"/>
                <w:szCs w:val="18"/>
              </w:rPr>
            </w:pPr>
            <w:r>
              <w:rPr>
                <w:rFonts w:ascii="Times New Roman" w:hAnsi="Times New Roman"/>
                <w:sz w:val="18"/>
                <w:szCs w:val="18"/>
              </w:rPr>
              <w:t>指标类型</w:t>
            </w:r>
          </w:p>
        </w:tc>
      </w:tr>
      <w:tr w14:paraId="169A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jc w:val="center"/>
        </w:trPr>
        <w:tc>
          <w:tcPr>
            <w:tcW w:w="704" w:type="dxa"/>
            <w:vMerge w:val="continue"/>
            <w:shd w:val="clear" w:color="auto" w:fill="auto"/>
            <w:vAlign w:val="center"/>
          </w:tcPr>
          <w:p w14:paraId="627E516E">
            <w:pPr>
              <w:spacing w:line="240" w:lineRule="auto"/>
              <w:jc w:val="center"/>
              <w:rPr>
                <w:rFonts w:ascii="Times New Roman" w:hAnsi="Times New Roman"/>
                <w:sz w:val="18"/>
                <w:szCs w:val="18"/>
              </w:rPr>
            </w:pPr>
          </w:p>
        </w:tc>
        <w:tc>
          <w:tcPr>
            <w:tcW w:w="1276" w:type="dxa"/>
            <w:shd w:val="clear" w:color="auto" w:fill="auto"/>
            <w:vAlign w:val="center"/>
          </w:tcPr>
          <w:p w14:paraId="2306D4EF">
            <w:pPr>
              <w:spacing w:line="240" w:lineRule="auto"/>
              <w:jc w:val="center"/>
              <w:rPr>
                <w:rFonts w:ascii="Times New Roman" w:hAnsi="Times New Roman"/>
                <w:sz w:val="18"/>
                <w:szCs w:val="18"/>
              </w:rPr>
            </w:pPr>
            <w:r>
              <w:rPr>
                <w:rFonts w:hint="eastAsia" w:ascii="Times New Roman" w:hAnsi="Times New Roman"/>
                <w:sz w:val="18"/>
                <w:szCs w:val="18"/>
              </w:rPr>
              <w:t>一级指标</w:t>
            </w:r>
          </w:p>
        </w:tc>
        <w:tc>
          <w:tcPr>
            <w:tcW w:w="1134" w:type="dxa"/>
            <w:shd w:val="clear" w:color="auto" w:fill="auto"/>
            <w:vAlign w:val="center"/>
          </w:tcPr>
          <w:p w14:paraId="5823A4D9">
            <w:pPr>
              <w:spacing w:line="240" w:lineRule="auto"/>
              <w:jc w:val="center"/>
              <w:rPr>
                <w:rFonts w:ascii="Times New Roman" w:hAnsi="Times New Roman"/>
                <w:sz w:val="18"/>
                <w:szCs w:val="18"/>
              </w:rPr>
            </w:pPr>
            <w:r>
              <w:rPr>
                <w:rFonts w:hint="eastAsia" w:ascii="Times New Roman" w:hAnsi="Times New Roman"/>
                <w:sz w:val="18"/>
                <w:szCs w:val="18"/>
              </w:rPr>
              <w:t>二级指标</w:t>
            </w:r>
          </w:p>
        </w:tc>
        <w:tc>
          <w:tcPr>
            <w:tcW w:w="6384" w:type="dxa"/>
            <w:shd w:val="clear" w:color="auto" w:fill="auto"/>
            <w:vAlign w:val="center"/>
          </w:tcPr>
          <w:p w14:paraId="6A77F25E">
            <w:pPr>
              <w:spacing w:line="240" w:lineRule="auto"/>
              <w:jc w:val="center"/>
              <w:rPr>
                <w:rFonts w:ascii="Times New Roman" w:hAnsi="Times New Roman"/>
                <w:sz w:val="18"/>
                <w:szCs w:val="18"/>
              </w:rPr>
            </w:pPr>
            <w:r>
              <w:rPr>
                <w:rFonts w:hint="eastAsia" w:ascii="Times New Roman" w:hAnsi="Times New Roman"/>
                <w:sz w:val="18"/>
                <w:szCs w:val="18"/>
              </w:rPr>
              <w:t>三级指标</w:t>
            </w:r>
          </w:p>
        </w:tc>
      </w:tr>
      <w:tr w14:paraId="3DBE7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shd w:val="clear" w:color="auto" w:fill="auto"/>
            <w:vAlign w:val="center"/>
          </w:tcPr>
          <w:p w14:paraId="2D656A5C">
            <w:pPr>
              <w:spacing w:line="240" w:lineRule="auto"/>
              <w:jc w:val="center"/>
              <w:rPr>
                <w:rFonts w:ascii="Times New Roman" w:hAnsi="Times New Roman"/>
                <w:sz w:val="18"/>
                <w:szCs w:val="18"/>
              </w:rPr>
            </w:pPr>
            <w:r>
              <w:rPr>
                <w:rFonts w:hint="eastAsia" w:ascii="Times New Roman" w:hAnsi="Times New Roman"/>
                <w:sz w:val="18"/>
                <w:szCs w:val="18"/>
              </w:rPr>
              <w:t>7</w:t>
            </w:r>
          </w:p>
        </w:tc>
        <w:tc>
          <w:tcPr>
            <w:tcW w:w="1276" w:type="dxa"/>
            <w:vMerge w:val="restart"/>
            <w:shd w:val="clear" w:color="auto" w:fill="auto"/>
            <w:vAlign w:val="center"/>
          </w:tcPr>
          <w:p w14:paraId="26AE1826">
            <w:pPr>
              <w:spacing w:line="240" w:lineRule="auto"/>
              <w:jc w:val="center"/>
              <w:rPr>
                <w:rFonts w:ascii="Times New Roman" w:hAnsi="Times New Roman"/>
                <w:sz w:val="18"/>
                <w:szCs w:val="18"/>
              </w:rPr>
            </w:pPr>
            <w:r>
              <w:rPr>
                <w:rFonts w:hint="eastAsia" w:ascii="Times New Roman" w:hAnsi="Times New Roman"/>
                <w:sz w:val="18"/>
                <w:szCs w:val="18"/>
              </w:rPr>
              <w:t>斜坡物质结构特征</w:t>
            </w:r>
          </w:p>
        </w:tc>
        <w:tc>
          <w:tcPr>
            <w:tcW w:w="1134" w:type="dxa"/>
            <w:vMerge w:val="restart"/>
            <w:shd w:val="clear" w:color="auto" w:fill="auto"/>
            <w:vAlign w:val="center"/>
          </w:tcPr>
          <w:p w14:paraId="7FE143A4">
            <w:pPr>
              <w:spacing w:line="240" w:lineRule="auto"/>
              <w:jc w:val="center"/>
              <w:rPr>
                <w:rFonts w:ascii="Times New Roman" w:hAnsi="Times New Roman"/>
                <w:sz w:val="18"/>
                <w:szCs w:val="18"/>
              </w:rPr>
            </w:pPr>
            <w:r>
              <w:rPr>
                <w:rFonts w:ascii="Times New Roman" w:hAnsi="Times New Roman"/>
                <w:sz w:val="18"/>
                <w:szCs w:val="18"/>
              </w:rPr>
              <w:t>斜坡结构</w:t>
            </w:r>
          </w:p>
        </w:tc>
        <w:tc>
          <w:tcPr>
            <w:tcW w:w="6384" w:type="dxa"/>
            <w:shd w:val="clear" w:color="auto" w:fill="auto"/>
            <w:vAlign w:val="center"/>
          </w:tcPr>
          <w:p w14:paraId="7FECE29C">
            <w:pPr>
              <w:spacing w:line="240" w:lineRule="auto"/>
              <w:jc w:val="center"/>
              <w:rPr>
                <w:rFonts w:ascii="Times New Roman" w:hAnsi="Times New Roman"/>
                <w:sz w:val="18"/>
                <w:szCs w:val="18"/>
              </w:rPr>
            </w:pPr>
            <w:r>
              <w:rPr>
                <w:rFonts w:ascii="Times New Roman" w:hAnsi="Times New Roman"/>
                <w:sz w:val="18"/>
                <w:szCs w:val="18"/>
              </w:rPr>
              <w:t>逆斜坡</w:t>
            </w:r>
          </w:p>
        </w:tc>
      </w:tr>
      <w:tr w14:paraId="32380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4F7135A3">
            <w:pPr>
              <w:spacing w:line="240" w:lineRule="auto"/>
              <w:jc w:val="center"/>
              <w:rPr>
                <w:rFonts w:ascii="Times New Roman" w:hAnsi="Times New Roman"/>
                <w:sz w:val="18"/>
                <w:szCs w:val="18"/>
              </w:rPr>
            </w:pPr>
          </w:p>
        </w:tc>
        <w:tc>
          <w:tcPr>
            <w:tcW w:w="1276" w:type="dxa"/>
            <w:vMerge w:val="continue"/>
            <w:shd w:val="clear" w:color="auto" w:fill="auto"/>
            <w:vAlign w:val="center"/>
          </w:tcPr>
          <w:p w14:paraId="45239F0F">
            <w:pPr>
              <w:spacing w:line="240" w:lineRule="auto"/>
              <w:jc w:val="center"/>
              <w:rPr>
                <w:rFonts w:ascii="Times New Roman" w:hAnsi="Times New Roman"/>
                <w:sz w:val="18"/>
                <w:szCs w:val="18"/>
              </w:rPr>
            </w:pPr>
          </w:p>
        </w:tc>
        <w:tc>
          <w:tcPr>
            <w:tcW w:w="1134" w:type="dxa"/>
            <w:vMerge w:val="continue"/>
            <w:shd w:val="clear" w:color="auto" w:fill="auto"/>
            <w:vAlign w:val="center"/>
          </w:tcPr>
          <w:p w14:paraId="0299CB0F">
            <w:pPr>
              <w:spacing w:line="240" w:lineRule="auto"/>
              <w:jc w:val="center"/>
              <w:rPr>
                <w:rFonts w:ascii="Times New Roman" w:hAnsi="Times New Roman"/>
                <w:sz w:val="18"/>
                <w:szCs w:val="18"/>
              </w:rPr>
            </w:pPr>
          </w:p>
        </w:tc>
        <w:tc>
          <w:tcPr>
            <w:tcW w:w="6384" w:type="dxa"/>
            <w:shd w:val="clear" w:color="auto" w:fill="auto"/>
            <w:vAlign w:val="center"/>
          </w:tcPr>
          <w:p w14:paraId="610FB24C">
            <w:pPr>
              <w:spacing w:line="240" w:lineRule="auto"/>
              <w:jc w:val="center"/>
              <w:rPr>
                <w:rFonts w:ascii="Times New Roman" w:hAnsi="Times New Roman"/>
                <w:sz w:val="18"/>
                <w:szCs w:val="18"/>
              </w:rPr>
            </w:pPr>
            <w:r>
              <w:rPr>
                <w:rFonts w:ascii="Times New Roman" w:hAnsi="Times New Roman"/>
                <w:sz w:val="18"/>
                <w:szCs w:val="18"/>
              </w:rPr>
              <w:t>近水平层状坡</w:t>
            </w:r>
          </w:p>
        </w:tc>
      </w:tr>
      <w:tr w14:paraId="0D56F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shd w:val="clear" w:color="auto" w:fill="auto"/>
            <w:vAlign w:val="center"/>
          </w:tcPr>
          <w:p w14:paraId="29B6616A">
            <w:pPr>
              <w:spacing w:line="240" w:lineRule="auto"/>
              <w:jc w:val="center"/>
              <w:rPr>
                <w:rFonts w:ascii="Times New Roman" w:hAnsi="Times New Roman"/>
                <w:sz w:val="18"/>
                <w:szCs w:val="18"/>
              </w:rPr>
            </w:pPr>
          </w:p>
        </w:tc>
        <w:tc>
          <w:tcPr>
            <w:tcW w:w="1276" w:type="dxa"/>
            <w:vMerge w:val="continue"/>
            <w:shd w:val="clear" w:color="auto" w:fill="auto"/>
            <w:vAlign w:val="center"/>
          </w:tcPr>
          <w:p w14:paraId="54C3E68A">
            <w:pPr>
              <w:spacing w:line="240" w:lineRule="auto"/>
              <w:jc w:val="center"/>
              <w:rPr>
                <w:rFonts w:ascii="Times New Roman" w:hAnsi="Times New Roman"/>
                <w:sz w:val="18"/>
                <w:szCs w:val="18"/>
              </w:rPr>
            </w:pPr>
          </w:p>
        </w:tc>
        <w:tc>
          <w:tcPr>
            <w:tcW w:w="1134" w:type="dxa"/>
            <w:vMerge w:val="continue"/>
            <w:shd w:val="clear" w:color="auto" w:fill="auto"/>
            <w:vAlign w:val="center"/>
          </w:tcPr>
          <w:p w14:paraId="7A701D76">
            <w:pPr>
              <w:spacing w:line="240" w:lineRule="auto"/>
              <w:jc w:val="center"/>
              <w:rPr>
                <w:rFonts w:ascii="Times New Roman" w:hAnsi="Times New Roman"/>
                <w:sz w:val="18"/>
                <w:szCs w:val="18"/>
              </w:rPr>
            </w:pPr>
          </w:p>
        </w:tc>
        <w:tc>
          <w:tcPr>
            <w:tcW w:w="6384" w:type="dxa"/>
            <w:shd w:val="clear" w:color="auto" w:fill="auto"/>
            <w:vAlign w:val="center"/>
          </w:tcPr>
          <w:p w14:paraId="3A273632">
            <w:pPr>
              <w:spacing w:line="240" w:lineRule="auto"/>
              <w:jc w:val="center"/>
              <w:rPr>
                <w:rFonts w:ascii="Times New Roman" w:hAnsi="Times New Roman"/>
                <w:sz w:val="18"/>
                <w:szCs w:val="18"/>
              </w:rPr>
            </w:pPr>
            <w:r>
              <w:rPr>
                <w:rFonts w:ascii="Times New Roman" w:hAnsi="Times New Roman"/>
                <w:sz w:val="18"/>
                <w:szCs w:val="18"/>
              </w:rPr>
              <w:t>块状结构斜坡</w:t>
            </w:r>
          </w:p>
        </w:tc>
      </w:tr>
      <w:tr w14:paraId="3C55E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auto"/>
            <w:vAlign w:val="center"/>
          </w:tcPr>
          <w:p w14:paraId="5D98457B">
            <w:pPr>
              <w:spacing w:line="240" w:lineRule="auto"/>
              <w:jc w:val="center"/>
              <w:rPr>
                <w:rFonts w:ascii="Times New Roman" w:hAnsi="Times New Roman"/>
                <w:sz w:val="18"/>
                <w:szCs w:val="18"/>
              </w:rPr>
            </w:pPr>
            <w:r>
              <w:rPr>
                <w:rFonts w:hint="eastAsia" w:ascii="Times New Roman" w:hAnsi="Times New Roman"/>
                <w:sz w:val="18"/>
                <w:szCs w:val="18"/>
              </w:rPr>
              <w:t>8</w:t>
            </w:r>
          </w:p>
        </w:tc>
        <w:tc>
          <w:tcPr>
            <w:tcW w:w="1276" w:type="dxa"/>
            <w:shd w:val="clear" w:color="auto" w:fill="auto"/>
            <w:vAlign w:val="center"/>
          </w:tcPr>
          <w:p w14:paraId="35AE62AA">
            <w:pPr>
              <w:spacing w:line="240" w:lineRule="auto"/>
              <w:jc w:val="center"/>
              <w:rPr>
                <w:rFonts w:ascii="Times New Roman" w:hAnsi="Times New Roman"/>
                <w:sz w:val="18"/>
                <w:szCs w:val="18"/>
              </w:rPr>
            </w:pPr>
            <w:r>
              <w:rPr>
                <w:rFonts w:hint="eastAsia" w:ascii="Times New Roman" w:hAnsi="Times New Roman"/>
                <w:sz w:val="18"/>
                <w:szCs w:val="18"/>
              </w:rPr>
              <w:t>地质构造特征</w:t>
            </w:r>
          </w:p>
        </w:tc>
        <w:tc>
          <w:tcPr>
            <w:tcW w:w="1134" w:type="dxa"/>
            <w:shd w:val="clear" w:color="auto" w:fill="auto"/>
            <w:vAlign w:val="center"/>
          </w:tcPr>
          <w:p w14:paraId="7E0BEB92">
            <w:pPr>
              <w:spacing w:line="240" w:lineRule="auto"/>
              <w:jc w:val="center"/>
              <w:rPr>
                <w:rFonts w:ascii="Times New Roman" w:hAnsi="Times New Roman"/>
                <w:sz w:val="18"/>
                <w:szCs w:val="18"/>
              </w:rPr>
            </w:pPr>
            <w:r>
              <w:rPr>
                <w:rFonts w:ascii="Times New Roman" w:hAnsi="Times New Roman"/>
                <w:sz w:val="18"/>
                <w:szCs w:val="18"/>
              </w:rPr>
              <w:t>与构造间距离</w:t>
            </w:r>
          </w:p>
        </w:tc>
        <w:tc>
          <w:tcPr>
            <w:tcW w:w="6384" w:type="dxa"/>
            <w:shd w:val="clear" w:color="auto" w:fill="auto"/>
            <w:vAlign w:val="center"/>
          </w:tcPr>
          <w:p w14:paraId="2A593BBF">
            <w:pPr>
              <w:spacing w:line="240" w:lineRule="auto"/>
              <w:rPr>
                <w:rFonts w:ascii="Times New Roman" w:hAnsi="Times New Roman"/>
                <w:sz w:val="18"/>
                <w:szCs w:val="18"/>
              </w:rPr>
            </w:pPr>
            <w:r>
              <w:rPr>
                <w:rFonts w:ascii="宋体" w:hAnsi="宋体" w:cs="宋体"/>
                <w:sz w:val="18"/>
                <w:szCs w:val="18"/>
              </w:rPr>
              <w:t>根据</w:t>
            </w:r>
            <w:r>
              <w:rPr>
                <w:rFonts w:hint="eastAsia" w:ascii="宋体" w:hAnsi="宋体" w:cs="宋体"/>
                <w:sz w:val="18"/>
                <w:szCs w:val="18"/>
              </w:rPr>
              <w:t>区域地质资料结合</w:t>
            </w:r>
            <w:r>
              <w:rPr>
                <w:rFonts w:ascii="宋体" w:hAnsi="宋体" w:cs="宋体"/>
                <w:sz w:val="18"/>
                <w:szCs w:val="18"/>
              </w:rPr>
              <w:t>野外调查确定。分级标准可结合地质灾害发育特征合理确定，不同级别应体现出灾害数量的差异性分布。</w:t>
            </w:r>
            <w:r>
              <w:rPr>
                <w:rFonts w:hint="eastAsia" w:ascii="宋体" w:hAnsi="宋体" w:cs="宋体"/>
                <w:sz w:val="18"/>
                <w:szCs w:val="18"/>
              </w:rPr>
              <w:t>应</w:t>
            </w:r>
            <w:r>
              <w:rPr>
                <w:rFonts w:ascii="宋体" w:hAnsi="宋体" w:cs="宋体"/>
                <w:sz w:val="18"/>
                <w:szCs w:val="18"/>
              </w:rPr>
              <w:t>作定量判断。</w:t>
            </w:r>
          </w:p>
        </w:tc>
      </w:tr>
      <w:tr w14:paraId="0A7BE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704" w:type="dxa"/>
            <w:shd w:val="clear" w:color="auto" w:fill="auto"/>
            <w:vAlign w:val="center"/>
          </w:tcPr>
          <w:p w14:paraId="4619D1FC">
            <w:pPr>
              <w:spacing w:line="240" w:lineRule="auto"/>
              <w:jc w:val="center"/>
              <w:rPr>
                <w:rFonts w:ascii="Times New Roman" w:hAnsi="Times New Roman"/>
                <w:sz w:val="18"/>
                <w:szCs w:val="18"/>
              </w:rPr>
            </w:pPr>
            <w:r>
              <w:rPr>
                <w:rFonts w:hint="eastAsia" w:ascii="Times New Roman" w:hAnsi="Times New Roman"/>
                <w:sz w:val="18"/>
                <w:szCs w:val="18"/>
              </w:rPr>
              <w:t>9</w:t>
            </w:r>
          </w:p>
        </w:tc>
        <w:tc>
          <w:tcPr>
            <w:tcW w:w="1276" w:type="dxa"/>
            <w:shd w:val="clear" w:color="auto" w:fill="auto"/>
            <w:vAlign w:val="center"/>
          </w:tcPr>
          <w:p w14:paraId="67998A89">
            <w:pPr>
              <w:spacing w:line="240" w:lineRule="auto"/>
              <w:jc w:val="center"/>
              <w:rPr>
                <w:rFonts w:ascii="Times New Roman" w:hAnsi="Times New Roman"/>
                <w:sz w:val="18"/>
                <w:szCs w:val="18"/>
              </w:rPr>
            </w:pPr>
            <w:r>
              <w:rPr>
                <w:rFonts w:hint="eastAsia" w:ascii="Times New Roman" w:hAnsi="Times New Roman"/>
                <w:sz w:val="18"/>
                <w:szCs w:val="18"/>
              </w:rPr>
              <w:t>人类工程活动特征</w:t>
            </w:r>
          </w:p>
        </w:tc>
        <w:tc>
          <w:tcPr>
            <w:tcW w:w="1134" w:type="dxa"/>
            <w:shd w:val="clear" w:color="auto" w:fill="auto"/>
            <w:vAlign w:val="center"/>
          </w:tcPr>
          <w:p w14:paraId="08648962">
            <w:pPr>
              <w:spacing w:line="240" w:lineRule="auto"/>
              <w:jc w:val="center"/>
              <w:rPr>
                <w:rFonts w:ascii="Times New Roman" w:hAnsi="Times New Roman"/>
                <w:sz w:val="18"/>
                <w:szCs w:val="18"/>
              </w:rPr>
            </w:pPr>
            <w:r>
              <w:rPr>
                <w:rFonts w:ascii="Times New Roman" w:hAnsi="Times New Roman"/>
                <w:sz w:val="18"/>
                <w:szCs w:val="18"/>
              </w:rPr>
              <w:t>切坡高度</w:t>
            </w:r>
          </w:p>
        </w:tc>
        <w:tc>
          <w:tcPr>
            <w:tcW w:w="6384" w:type="dxa"/>
            <w:shd w:val="clear" w:color="auto" w:fill="auto"/>
            <w:vAlign w:val="center"/>
          </w:tcPr>
          <w:p w14:paraId="13F71F63">
            <w:pPr>
              <w:spacing w:line="240" w:lineRule="auto"/>
              <w:rPr>
                <w:rFonts w:ascii="Times New Roman" w:hAnsi="Times New Roman"/>
                <w:sz w:val="18"/>
                <w:szCs w:val="18"/>
              </w:rPr>
            </w:pPr>
            <w:r>
              <w:rPr>
                <w:rFonts w:ascii="宋体" w:hAnsi="宋体" w:cs="宋体"/>
                <w:sz w:val="18"/>
                <w:szCs w:val="18"/>
              </w:rPr>
              <w:t>根据野外调查确定。分级标准可结合地质灾害发育特征合理确定，不同级别应体现出灾害数量的差异性分布</w:t>
            </w:r>
            <w:r>
              <w:rPr>
                <w:rFonts w:hint="eastAsia" w:ascii="宋体" w:hAnsi="宋体" w:cs="宋体"/>
                <w:sz w:val="18"/>
                <w:szCs w:val="18"/>
              </w:rPr>
              <w:t>和支护情况</w:t>
            </w:r>
            <w:r>
              <w:rPr>
                <w:rFonts w:ascii="宋体" w:hAnsi="宋体" w:cs="宋体"/>
                <w:sz w:val="18"/>
                <w:szCs w:val="18"/>
              </w:rPr>
              <w:t>。</w:t>
            </w:r>
            <w:r>
              <w:rPr>
                <w:rFonts w:hint="eastAsia" w:ascii="宋体" w:hAnsi="宋体" w:cs="宋体"/>
                <w:sz w:val="18"/>
                <w:szCs w:val="18"/>
              </w:rPr>
              <w:t>应</w:t>
            </w:r>
            <w:r>
              <w:rPr>
                <w:rFonts w:ascii="宋体" w:hAnsi="宋体" w:cs="宋体"/>
                <w:sz w:val="18"/>
                <w:szCs w:val="18"/>
              </w:rPr>
              <w:t>作定量判断。</w:t>
            </w:r>
          </w:p>
        </w:tc>
      </w:tr>
    </w:tbl>
    <w:p w14:paraId="51FF707F">
      <w:pPr>
        <w:pStyle w:val="58"/>
        <w:ind w:firstLine="420"/>
      </w:pPr>
      <w:r>
        <w:rPr>
          <w:rFonts w:hint="eastAsia"/>
        </w:rPr>
        <w:t>地质灾害易发综合指数Y计算公式如下：</w:t>
      </w:r>
    </w:p>
    <w:p w14:paraId="52BF1724">
      <w:pPr>
        <w:pStyle w:val="115"/>
      </w:pPr>
      <w:r>
        <w:rPr>
          <w:rFonts w:hint="eastAsia"/>
        </w:rPr>
        <w:tab/>
      </w:r>
      <m:oMath>
        <m:sSub>
          <m:sSubPr>
            <m:ctrlPr>
              <w:rPr>
                <w:rFonts w:ascii="Cambria Math" w:hAnsi="Cambria Math"/>
                <w:i/>
              </w:rPr>
            </m:ctrlPr>
          </m:sSubPr>
          <m:e>
            <m:r>
              <m:rPr/>
              <w:rPr>
                <w:rFonts w:ascii="Cambria Math" w:hAnsi="Cambria Math"/>
              </w:rPr>
              <m:t>Y</m:t>
            </m:r>
            <m:ctrlPr>
              <w:rPr>
                <w:rFonts w:ascii="Cambria Math" w:hAnsi="Cambria Math"/>
                <w:i/>
              </w:rPr>
            </m:ctrlPr>
          </m:e>
          <m:sub>
            <m:r>
              <m:rPr/>
              <w:rPr>
                <w:rFonts w:ascii="Cambria Math" w:hAnsi="Cambria Math"/>
              </w:rPr>
              <m:t>i</m:t>
            </m:r>
            <m:ctrlPr>
              <w:rPr>
                <w:rFonts w:ascii="Cambria Math" w:hAnsi="Cambria Math"/>
                <w:i/>
              </w:rPr>
            </m:ctrlPr>
          </m:sub>
        </m:sSub>
        <m:r>
          <m:rPr>
            <m:sty m:val="p"/>
          </m:rPr>
          <w:rPr>
            <w:rFonts w:ascii="Cambria Math" w:hAnsi="Cambria Math"/>
          </w:rPr>
          <m:t>=</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hint="eastAsia" w:ascii="Cambria Math" w:hAnsi="Cambria Math"/>
              </w:rPr>
              <m:t>j</m:t>
            </m:r>
            <m:r>
              <m:rPr/>
              <w:rPr>
                <w:rFonts w:ascii="Cambria Math" w:hAnsi="Cambria Math"/>
              </w:rPr>
              <m:t>=1</m:t>
            </m:r>
            <m:ctrlPr>
              <w:rPr>
                <w:rFonts w:ascii="Cambria Math" w:hAnsi="Cambria Math"/>
                <w:i/>
              </w:rPr>
            </m:ctrlPr>
          </m:lim>
        </m:limLow>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i</m:t>
            </m:r>
            <m:r>
              <m:rPr/>
              <w:rPr>
                <w:rFonts w:hint="eastAsia" w:ascii="Cambria Math" w:hAnsi="Cambria Math"/>
              </w:rPr>
              <m:t>j</m:t>
            </m:r>
            <m:ctrlPr>
              <w:rPr>
                <w:rFonts w:ascii="Cambria Math" w:hAnsi="Cambria Math"/>
                <w:i/>
              </w:rPr>
            </m:ctrlPr>
          </m:sub>
        </m:sSub>
        <m:r>
          <m:rPr>
            <m:sty m:val="p"/>
          </m:rPr>
          <w:rPr>
            <w:rFonts w:ascii="Cambria Math" w:hAnsi="Cambria Math"/>
          </w:rPr>
          <m:t>×</m:t>
        </m:r>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ij</m:t>
            </m:r>
            <m:ctrlPr>
              <w:rPr>
                <w:rFonts w:ascii="Cambria Math" w:hAnsi="Cambria Math"/>
              </w:rPr>
            </m:ctrlPr>
          </m:sub>
        </m:sSub>
      </m:oMath>
      <w:r>
        <w:rPr>
          <w:rFonts w:hint="eastAsia" w:ascii="微软雅黑" w:hAnsi="微软雅黑" w:eastAsia="微软雅黑"/>
        </w:rPr>
        <w:tab/>
      </w:r>
      <w:r>
        <w:t>(I.</w:t>
      </w:r>
      <w:r>
        <w:fldChar w:fldCharType="begin"/>
      </w:r>
      <w:r>
        <w:instrText xml:space="preserve"> seq fulu_equation_133678635200375196 </w:instrText>
      </w:r>
      <w:r>
        <w:fldChar w:fldCharType="separate"/>
      </w:r>
      <w:r>
        <w:t>1</w:t>
      </w:r>
      <w:r>
        <w:fldChar w:fldCharType="end"/>
      </w:r>
      <w:r>
        <w:t>)</w:t>
      </w:r>
    </w:p>
    <w:p w14:paraId="35BA01D4">
      <w:pPr>
        <w:pStyle w:val="57"/>
        <w:ind w:firstLine="420"/>
      </w:pPr>
      <w:r>
        <w:rPr>
          <w:rFonts w:hint="eastAsia"/>
        </w:rPr>
        <w:t>式中：</w:t>
      </w:r>
    </w:p>
    <w:p w14:paraId="0AD7C9BB">
      <w:pPr>
        <w:pStyle w:val="58"/>
        <w:ind w:firstLine="420"/>
      </w:pPr>
      <w:r>
        <w:rPr>
          <w:rFonts w:hint="eastAsia"/>
        </w:rPr>
        <w:t>Y</w:t>
      </w:r>
      <w:r>
        <w:rPr>
          <w:rFonts w:hint="eastAsia"/>
          <w:vertAlign w:val="subscript"/>
        </w:rPr>
        <w:t>i</w:t>
      </w:r>
      <w:r>
        <w:rPr>
          <w:vertAlign w:val="subscript"/>
        </w:rPr>
        <w:t xml:space="preserve"> </w:t>
      </w:r>
      <w:r>
        <w:rPr>
          <w:rFonts w:hint="eastAsia"/>
        </w:rPr>
        <w:t>——第i个斜坡单元易发性综合指数；</w:t>
      </w:r>
    </w:p>
    <w:p w14:paraId="1362B353">
      <w:pPr>
        <w:pStyle w:val="58"/>
        <w:ind w:firstLine="420"/>
      </w:pPr>
      <w:r>
        <w:rPr>
          <w:rFonts w:hint="eastAsia"/>
        </w:rPr>
        <w:t>F</w:t>
      </w:r>
      <w:r>
        <w:rPr>
          <w:vertAlign w:val="subscript"/>
        </w:rPr>
        <w:t>i</w:t>
      </w:r>
      <w:r>
        <w:rPr>
          <w:rFonts w:hint="eastAsia"/>
          <w:vertAlign w:val="subscript"/>
        </w:rPr>
        <w:t>j</w:t>
      </w:r>
      <w:r>
        <w:rPr>
          <w:rFonts w:hint="eastAsia"/>
        </w:rPr>
        <w:t>——第i个斜坡单元第j类指标权重；</w:t>
      </w:r>
    </w:p>
    <w:p w14:paraId="4C8626F5">
      <w:pPr>
        <w:pStyle w:val="58"/>
        <w:ind w:firstLine="420"/>
      </w:pPr>
      <w:r>
        <w:rPr>
          <w:rFonts w:hint="eastAsia"/>
        </w:rPr>
        <w:t>S</w:t>
      </w:r>
      <w:r>
        <w:rPr>
          <w:vertAlign w:val="subscript"/>
        </w:rPr>
        <w:t>i</w:t>
      </w:r>
      <w:r>
        <w:rPr>
          <w:rFonts w:hint="eastAsia"/>
          <w:vertAlign w:val="subscript"/>
        </w:rPr>
        <w:t>j</w:t>
      </w:r>
      <w:r>
        <w:rPr>
          <w:rFonts w:hint="eastAsia"/>
        </w:rPr>
        <w:t>——第i个斜坡单元第j类指标赋值；</w:t>
      </w:r>
    </w:p>
    <w:p w14:paraId="51915A7F">
      <w:pPr>
        <w:pStyle w:val="58"/>
        <w:ind w:firstLine="420"/>
      </w:pPr>
      <w:r>
        <w:rPr>
          <w:rFonts w:hint="eastAsia"/>
        </w:rPr>
        <w:t>n ——评价指标项数。</w:t>
      </w:r>
    </w:p>
    <w:p w14:paraId="1FC49860">
      <w:pPr>
        <w:pStyle w:val="83"/>
        <w:spacing w:before="156" w:after="156"/>
      </w:pPr>
      <w:r>
        <w:rPr>
          <w:rFonts w:hint="eastAsia"/>
        </w:rPr>
        <w:t>信息量法</w:t>
      </w:r>
    </w:p>
    <w:p w14:paraId="1D93B011">
      <w:pPr>
        <w:pStyle w:val="58"/>
        <w:ind w:firstLine="420"/>
      </w:pPr>
      <w:r>
        <w:rPr>
          <w:rFonts w:hint="eastAsia"/>
        </w:rPr>
        <w:t>地质灾害的形成受多种因素影响，信息量模型反映了一定地质环境下最易致灾因素及其细分区间的组合；具体是通过特定评价单元内某种因素作用下地质灾害发生频率与区域地质灾害发生频率相比较实现的。可根据各状态因素组合条件下地质灾害发生的总信息量确定易发性指数，并以此划分易发性等级。</w:t>
      </w:r>
    </w:p>
    <w:p w14:paraId="566CA1A3">
      <w:pPr>
        <w:pStyle w:val="58"/>
        <w:ind w:firstLine="420"/>
      </w:pPr>
      <w:r>
        <w:rPr>
          <w:rFonts w:hint="eastAsia"/>
        </w:rPr>
        <w:t>对应某种因素特定状态下的地质灾害信息量可用公式（I.2）表示：</w:t>
      </w:r>
    </w:p>
    <w:p w14:paraId="694F525D">
      <w:pPr>
        <w:pStyle w:val="115"/>
      </w:pPr>
      <w:r>
        <w:rPr>
          <w:rFonts w:hint="eastAsia"/>
        </w:rPr>
        <w:tab/>
      </w: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Aj</m:t>
            </m:r>
            <m:ctrlPr>
              <w:rPr>
                <w:rFonts w:ascii="Cambria Math" w:hAnsi="Cambria Math"/>
                <w:i/>
              </w:rPr>
            </m:ctrlPr>
          </m:sub>
        </m:sSub>
        <m:r>
          <m:rPr/>
          <w:rPr>
            <w:rFonts w:ascii="Cambria Math" w:hAnsi="Cambria Math"/>
          </w:rPr>
          <m:t>=</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j</m:t>
                        </m:r>
                        <m:ctrlPr>
                          <w:rPr>
                            <w:rFonts w:ascii="Cambria Math" w:hAnsi="Cambria Math"/>
                            <w:i/>
                          </w:rPr>
                        </m:ctrlPr>
                      </m:sub>
                    </m:sSub>
                    <m:ctrlPr>
                      <w:rPr>
                        <w:rFonts w:ascii="Cambria Math" w:hAnsi="Cambria Math"/>
                        <w:i/>
                      </w:rPr>
                    </m:ctrlPr>
                  </m:num>
                  <m:den>
                    <m:r>
                      <m:rPr/>
                      <w:rPr>
                        <w:rFonts w:ascii="Cambria Math" w:hAnsi="Cambria Math"/>
                      </w:rPr>
                      <m:t>N</m:t>
                    </m:r>
                    <m:ctrlPr>
                      <w:rPr>
                        <w:rFonts w:ascii="Cambria Math" w:hAnsi="Cambria Math"/>
                        <w:i/>
                      </w:rPr>
                    </m:ctrlPr>
                  </m:den>
                </m:f>
                <m:ctrlPr>
                  <w:rPr>
                    <w:rFonts w:ascii="Cambria Math" w:hAnsi="Cambria Math"/>
                    <w:i/>
                  </w:rPr>
                </m:ctrlPr>
              </m:num>
              <m:den>
                <m:f>
                  <m:fPr>
                    <m:type m:val="lin"/>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j</m:t>
                        </m:r>
                        <m:ctrlPr>
                          <w:rPr>
                            <w:rFonts w:ascii="Cambria Math" w:hAnsi="Cambria Math"/>
                            <w:i/>
                          </w:rPr>
                        </m:ctrlPr>
                      </m:sub>
                    </m:sSub>
                    <m:ctrlPr>
                      <w:rPr>
                        <w:rFonts w:ascii="Cambria Math" w:hAnsi="Cambria Math"/>
                        <w:i/>
                      </w:rPr>
                    </m:ctrlPr>
                  </m:num>
                  <m:den>
                    <m:r>
                      <m:rPr/>
                      <w:rPr>
                        <w:rFonts w:ascii="Cambria Math" w:hAnsi="Cambria Math"/>
                      </w:rPr>
                      <m:t>S</m:t>
                    </m:r>
                    <m:ctrlPr>
                      <w:rPr>
                        <w:rFonts w:ascii="Cambria Math" w:hAnsi="Cambria Math"/>
                        <w:i/>
                      </w:rPr>
                    </m:ctrlPr>
                  </m:den>
                </m:f>
                <m:ctrlPr>
                  <w:rPr>
                    <w:rFonts w:ascii="Cambria Math" w:hAnsi="Cambria Math"/>
                    <w:i/>
                  </w:rPr>
                </m:ctrlPr>
              </m:den>
            </m:f>
            <m:ctrlPr>
              <w:rPr>
                <w:rFonts w:ascii="Cambria Math" w:hAnsi="Cambria Math"/>
                <w:i/>
              </w:rPr>
            </m:ctrlPr>
          </m:e>
        </m:func>
        <m:r>
          <m:rPr/>
          <w:rPr>
            <w:rFonts w:ascii="Cambria Math" w:hAnsi="Cambria Math"/>
          </w:rPr>
          <m:t>(j=1,2,3,∙∙∙n)</m:t>
        </m:r>
      </m:oMath>
      <w:r>
        <w:rPr>
          <w:rFonts w:hint="eastAsia" w:ascii="微软雅黑" w:hAnsi="微软雅黑" w:eastAsia="微软雅黑"/>
        </w:rPr>
        <w:tab/>
      </w:r>
      <w:r>
        <w:t>(I.</w:t>
      </w:r>
      <w:r>
        <w:fldChar w:fldCharType="begin"/>
      </w:r>
      <w:r>
        <w:instrText xml:space="preserve">  seq fulu_equation_133678635200375196  </w:instrText>
      </w:r>
      <w:r>
        <w:fldChar w:fldCharType="separate"/>
      </w:r>
      <w:r>
        <w:t>2</w:t>
      </w:r>
      <w:r>
        <w:fldChar w:fldCharType="end"/>
      </w:r>
      <w:r>
        <w:t>)</w:t>
      </w:r>
    </w:p>
    <w:p w14:paraId="3D30891B">
      <w:pPr>
        <w:pStyle w:val="57"/>
        <w:ind w:firstLine="420"/>
      </w:pPr>
      <w:r>
        <w:rPr>
          <w:rFonts w:hint="eastAsia"/>
        </w:rPr>
        <w:t>式中：</w:t>
      </w:r>
    </w:p>
    <w:p w14:paraId="01977BCF">
      <w:pPr>
        <w:pStyle w:val="58"/>
        <w:ind w:firstLine="420"/>
      </w:pPr>
      <w:r>
        <w:rPr>
          <w:rFonts w:hint="eastAsia"/>
        </w:rPr>
        <w:t>I</w:t>
      </w:r>
      <w:r>
        <w:rPr>
          <w:rFonts w:hint="eastAsia"/>
          <w:vertAlign w:val="subscript"/>
        </w:rPr>
        <w:t>Aj</w:t>
      </w:r>
      <w:r>
        <w:rPr>
          <w:rFonts w:hint="eastAsia"/>
        </w:rPr>
        <w:t>——因素A在j状态下地质灾害发生的信息量；</w:t>
      </w:r>
    </w:p>
    <w:p w14:paraId="2B7565CE">
      <w:pPr>
        <w:pStyle w:val="58"/>
        <w:ind w:firstLine="420"/>
      </w:pPr>
      <w:r>
        <w:rPr>
          <w:rFonts w:hint="eastAsia"/>
        </w:rPr>
        <w:t>N</w:t>
      </w:r>
      <w:r>
        <w:rPr>
          <w:rFonts w:hint="eastAsia"/>
          <w:vertAlign w:val="subscript"/>
        </w:rPr>
        <w:t>j</w:t>
      </w:r>
      <w:r>
        <w:rPr>
          <w:vertAlign w:val="subscript"/>
        </w:rPr>
        <w:t xml:space="preserve"> </w:t>
      </w:r>
      <w:r>
        <w:rPr>
          <w:rFonts w:hint="eastAsia"/>
        </w:rPr>
        <w:t>——因素A在j状态（或区间）下地质灾害分布的单元数；</w:t>
      </w:r>
    </w:p>
    <w:p w14:paraId="51CF4CC1">
      <w:pPr>
        <w:pStyle w:val="58"/>
        <w:ind w:firstLine="420"/>
      </w:pPr>
      <w:r>
        <w:rPr>
          <w:rFonts w:hint="eastAsia"/>
        </w:rPr>
        <w:t>N ——已知有地质灾害分布的单元总数；</w:t>
      </w:r>
    </w:p>
    <w:p w14:paraId="18C060F2">
      <w:pPr>
        <w:pStyle w:val="58"/>
        <w:ind w:firstLine="420"/>
      </w:pPr>
      <w:r>
        <w:rPr>
          <w:rFonts w:hint="eastAsia"/>
        </w:rPr>
        <w:t>S</w:t>
      </w:r>
      <w:r>
        <w:rPr>
          <w:rFonts w:hint="eastAsia"/>
          <w:vertAlign w:val="subscript"/>
        </w:rPr>
        <w:t>j</w:t>
      </w:r>
      <w:r>
        <w:rPr>
          <w:rFonts w:hint="eastAsia"/>
        </w:rPr>
        <w:t>——含有A在j状态下的单元数；</w:t>
      </w:r>
    </w:p>
    <w:p w14:paraId="2753D106">
      <w:pPr>
        <w:pStyle w:val="58"/>
        <w:ind w:firstLine="420"/>
      </w:pPr>
      <w:r>
        <w:rPr>
          <w:rFonts w:hint="eastAsia"/>
        </w:rPr>
        <w:t>S ——调查区单元总数。</w:t>
      </w:r>
    </w:p>
    <w:p w14:paraId="558693FE">
      <w:pPr>
        <w:pStyle w:val="58"/>
        <w:ind w:firstLine="420"/>
      </w:pPr>
      <w:r>
        <w:rPr>
          <w:rFonts w:hint="eastAsia"/>
        </w:rPr>
        <w:t>各状态因素组合条件下地质灾害发生的总信息量可用公式（I.3）确定：</w:t>
      </w:r>
    </w:p>
    <w:p w14:paraId="0928EBC4">
      <w:pPr>
        <w:pStyle w:val="115"/>
      </w:pPr>
      <w:r>
        <w:rPr>
          <w:rFonts w:hint="eastAsia"/>
        </w:rPr>
        <w:tab/>
      </w:r>
      <m:oMath>
        <m:r>
          <m:rPr/>
          <w:rPr>
            <w:rFonts w:ascii="Cambria Math" w:hAnsi="Cambria Math"/>
          </w:rPr>
          <m:t>I=</m:t>
        </m:r>
        <m:limLow>
          <m:limLowPr>
            <m:ctrlPr>
              <w:rPr>
                <w:rFonts w:ascii="Cambria Math" w:hAnsi="Cambria Math"/>
                <w:i/>
              </w:rPr>
            </m:ctrlPr>
          </m:limLowPr>
          <m:e>
            <m:limUpp>
              <m:limUppPr>
                <m:ctrlPr>
                  <w:rPr>
                    <w:rFonts w:ascii="Cambria Math" w:hAnsi="Cambria Math"/>
                    <w:i/>
                  </w:rPr>
                </m:ctrlPr>
              </m:limUppPr>
              <m:e>
                <m:r>
                  <m:rPr/>
                  <w:rPr>
                    <w:rFonts w:ascii="Cambria Math" w:hAnsi="Cambria Math"/>
                  </w:rPr>
                  <m:t>∑</m:t>
                </m:r>
                <m:ctrlPr>
                  <w:rPr>
                    <w:rFonts w:ascii="Cambria Math" w:hAnsi="Cambria Math"/>
                    <w:i/>
                  </w:rPr>
                </m:ctrlPr>
              </m:e>
              <m:lim>
                <m:r>
                  <m:rPr/>
                  <w:rPr>
                    <w:rFonts w:ascii="Cambria Math" w:hAnsi="Cambria Math"/>
                  </w:rPr>
                  <m:t>n</m:t>
                </m:r>
                <m:ctrlPr>
                  <w:rPr>
                    <w:rFonts w:ascii="Cambria Math" w:hAnsi="Cambria Math"/>
                    <w:i/>
                  </w:rPr>
                </m:ctrlPr>
              </m:lim>
            </m:limUpp>
            <m:ctrlPr>
              <w:rPr>
                <w:rFonts w:ascii="Cambria Math" w:hAnsi="Cambria Math"/>
                <w:i/>
              </w:rPr>
            </m:ctrlPr>
          </m:e>
          <m:lim>
            <m:r>
              <m:rPr/>
              <w:rPr>
                <w:rFonts w:ascii="Cambria Math" w:hAnsi="Cambria Math"/>
              </w:rPr>
              <m:t>i=1</m:t>
            </m:r>
            <m:ctrlPr>
              <w:rPr>
                <w:rFonts w:ascii="Cambria Math" w:hAnsi="Cambria Math"/>
                <w:i/>
              </w:rPr>
            </m:ctrlPr>
          </m:lim>
        </m:limLow>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j</m:t>
                        </m:r>
                        <m:ctrlPr>
                          <w:rPr>
                            <w:rFonts w:ascii="Cambria Math" w:hAnsi="Cambria Math"/>
                            <w:i/>
                          </w:rPr>
                        </m:ctrlPr>
                      </m:sub>
                    </m:sSub>
                    <m:ctrlPr>
                      <w:rPr>
                        <w:rFonts w:ascii="Cambria Math" w:hAnsi="Cambria Math"/>
                        <w:i/>
                      </w:rPr>
                    </m:ctrlPr>
                  </m:num>
                  <m:den>
                    <m:r>
                      <m:rPr/>
                      <w:rPr>
                        <w:rFonts w:ascii="Cambria Math" w:hAnsi="Cambria Math"/>
                      </w:rPr>
                      <m:t>N</m:t>
                    </m:r>
                    <m:ctrlPr>
                      <w:rPr>
                        <w:rFonts w:ascii="Cambria Math" w:hAnsi="Cambria Math"/>
                        <w:i/>
                      </w:rPr>
                    </m:ctrlPr>
                  </m:den>
                </m:f>
                <m:ctrlPr>
                  <w:rPr>
                    <w:rFonts w:ascii="Cambria Math" w:hAnsi="Cambria Math"/>
                    <w:i/>
                  </w:rPr>
                </m:ctrlPr>
              </m:num>
              <m:den>
                <m:f>
                  <m:fPr>
                    <m:type m:val="lin"/>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j</m:t>
                        </m:r>
                        <m:ctrlPr>
                          <w:rPr>
                            <w:rFonts w:ascii="Cambria Math" w:hAnsi="Cambria Math"/>
                            <w:i/>
                          </w:rPr>
                        </m:ctrlPr>
                      </m:sub>
                    </m:sSub>
                    <m:ctrlPr>
                      <w:rPr>
                        <w:rFonts w:ascii="Cambria Math" w:hAnsi="Cambria Math"/>
                        <w:i/>
                      </w:rPr>
                    </m:ctrlPr>
                  </m:num>
                  <m:den>
                    <m:r>
                      <m:rPr/>
                      <w:rPr>
                        <w:rFonts w:ascii="Cambria Math" w:hAnsi="Cambria Math"/>
                      </w:rPr>
                      <m:t>S</m:t>
                    </m:r>
                    <m:ctrlPr>
                      <w:rPr>
                        <w:rFonts w:ascii="Cambria Math" w:hAnsi="Cambria Math"/>
                        <w:i/>
                      </w:rPr>
                    </m:ctrlPr>
                  </m:den>
                </m:f>
                <m:ctrlPr>
                  <w:rPr>
                    <w:rFonts w:ascii="Cambria Math" w:hAnsi="Cambria Math"/>
                    <w:i/>
                  </w:rPr>
                </m:ctrlPr>
              </m:den>
            </m:f>
            <m:ctrlPr>
              <w:rPr>
                <w:rFonts w:ascii="Cambria Math" w:hAnsi="Cambria Math"/>
                <w:i/>
              </w:rPr>
            </m:ctrlPr>
          </m:e>
        </m:func>
        <m:r>
          <m:rPr/>
          <w:rPr>
            <w:rFonts w:ascii="Cambria Math" w:hAnsi="Cambria Math"/>
          </w:rPr>
          <m:t>(j=1,2,3,∙∙∙n)</m:t>
        </m:r>
      </m:oMath>
      <w:r>
        <w:rPr>
          <w:rFonts w:hint="eastAsia" w:ascii="微软雅黑" w:hAnsi="微软雅黑" w:eastAsia="微软雅黑"/>
        </w:rPr>
        <w:tab/>
      </w:r>
      <w:r>
        <w:t>(I.</w:t>
      </w:r>
      <w:r>
        <w:fldChar w:fldCharType="begin"/>
      </w:r>
      <w:r>
        <w:instrText xml:space="preserve">  seq fulu_equation_133678635200375196  </w:instrText>
      </w:r>
      <w:r>
        <w:fldChar w:fldCharType="separate"/>
      </w:r>
      <w:r>
        <w:t>3</w:t>
      </w:r>
      <w:r>
        <w:fldChar w:fldCharType="end"/>
      </w:r>
      <w:r>
        <w:t>)</w:t>
      </w:r>
    </w:p>
    <w:p w14:paraId="6DA91D94">
      <w:pPr>
        <w:pStyle w:val="57"/>
        <w:ind w:firstLine="420"/>
      </w:pPr>
      <w:r>
        <w:rPr>
          <w:rFonts w:hint="eastAsia"/>
        </w:rPr>
        <w:t>式中：</w:t>
      </w:r>
    </w:p>
    <w:p w14:paraId="14A9CF6E">
      <w:pPr>
        <w:pStyle w:val="58"/>
        <w:ind w:firstLine="420"/>
      </w:pPr>
      <w:r>
        <w:rPr>
          <w:rFonts w:hint="eastAsia"/>
        </w:rPr>
        <w:t>I</w:t>
      </w:r>
      <w:r>
        <w:rPr>
          <w:vertAlign w:val="subscript"/>
        </w:rPr>
        <w:t xml:space="preserve">  </w:t>
      </w:r>
      <w:r>
        <w:rPr>
          <w:rFonts w:hint="eastAsia"/>
        </w:rPr>
        <w:t>——因素A在j状态下地质灾害发生的信息量；</w:t>
      </w:r>
    </w:p>
    <w:p w14:paraId="51876D86">
      <w:pPr>
        <w:pStyle w:val="58"/>
        <w:ind w:firstLine="420"/>
      </w:pPr>
      <w:r>
        <w:rPr>
          <w:rFonts w:hint="eastAsia"/>
        </w:rPr>
        <w:t>N</w:t>
      </w:r>
      <w:r>
        <w:rPr>
          <w:rFonts w:hint="eastAsia"/>
          <w:vertAlign w:val="subscript"/>
        </w:rPr>
        <w:t>j</w:t>
      </w:r>
      <w:r>
        <w:rPr>
          <w:vertAlign w:val="subscript"/>
        </w:rPr>
        <w:t xml:space="preserve"> </w:t>
      </w:r>
      <w:r>
        <w:rPr>
          <w:rFonts w:hint="eastAsia"/>
        </w:rPr>
        <w:t>——</w:t>
      </w:r>
      <w:bookmarkStart w:id="332" w:name="_Hlk167982426"/>
      <w:r>
        <w:rPr>
          <w:rFonts w:ascii="Times New Roman"/>
          <w:szCs w:val="21"/>
        </w:rPr>
        <w:t>特定因素、</w:t>
      </w:r>
      <w:bookmarkEnd w:id="332"/>
      <w:r>
        <w:rPr>
          <w:rFonts w:ascii="Times New Roman"/>
          <w:szCs w:val="21"/>
        </w:rPr>
        <w:t>第</w:t>
      </w:r>
      <w:r>
        <w:rPr>
          <w:rFonts w:ascii="Times New Roman"/>
          <w:i/>
          <w:szCs w:val="21"/>
        </w:rPr>
        <w:t>i</w:t>
      </w:r>
      <w:r>
        <w:rPr>
          <w:rFonts w:ascii="Times New Roman"/>
          <w:szCs w:val="21"/>
        </w:rPr>
        <w:t>状态（或区间）</w:t>
      </w:r>
      <w:r>
        <w:rPr>
          <w:rFonts w:hint="eastAsia"/>
        </w:rPr>
        <w:t>地质灾害分布的单元数；</w:t>
      </w:r>
    </w:p>
    <w:p w14:paraId="5381A138">
      <w:pPr>
        <w:pStyle w:val="58"/>
        <w:ind w:firstLine="420"/>
      </w:pPr>
      <w:r>
        <w:rPr>
          <w:rFonts w:hint="eastAsia"/>
        </w:rPr>
        <w:t>N ——已知有地质灾害分布的单元总数；</w:t>
      </w:r>
    </w:p>
    <w:p w14:paraId="2F12BEA1">
      <w:pPr>
        <w:pStyle w:val="58"/>
        <w:ind w:firstLine="420"/>
      </w:pPr>
      <w:r>
        <w:rPr>
          <w:rFonts w:hint="eastAsia"/>
        </w:rPr>
        <w:t>S</w:t>
      </w:r>
      <w:r>
        <w:rPr>
          <w:rFonts w:hint="eastAsia"/>
          <w:vertAlign w:val="subscript"/>
        </w:rPr>
        <w:t>j</w:t>
      </w:r>
      <w:r>
        <w:rPr>
          <w:rFonts w:hint="eastAsia"/>
        </w:rPr>
        <w:t>——</w:t>
      </w:r>
      <w:bookmarkStart w:id="333" w:name="_Hlk167982504"/>
      <w:r>
        <w:rPr>
          <w:rFonts w:ascii="Times New Roman"/>
          <w:szCs w:val="21"/>
        </w:rPr>
        <w:t>特定因素、第</w:t>
      </w:r>
      <w:r>
        <w:rPr>
          <w:rFonts w:ascii="Times New Roman"/>
          <w:i/>
          <w:szCs w:val="21"/>
        </w:rPr>
        <w:t>i</w:t>
      </w:r>
      <w:r>
        <w:rPr>
          <w:rFonts w:ascii="Times New Roman"/>
          <w:szCs w:val="21"/>
        </w:rPr>
        <w:t>状态（或区间）的</w:t>
      </w:r>
      <w:bookmarkEnd w:id="333"/>
      <w:r>
        <w:rPr>
          <w:rFonts w:hint="eastAsia"/>
        </w:rPr>
        <w:t>单元数；</w:t>
      </w:r>
    </w:p>
    <w:p w14:paraId="7D2805CB">
      <w:pPr>
        <w:pStyle w:val="58"/>
        <w:ind w:firstLine="420"/>
      </w:pPr>
      <w:r>
        <w:rPr>
          <w:rFonts w:hint="eastAsia"/>
        </w:rPr>
        <w:t>S ——调查区单元总数。</w:t>
      </w:r>
    </w:p>
    <w:p w14:paraId="5B7FBF01">
      <w:pPr>
        <w:pStyle w:val="83"/>
        <w:spacing w:before="156" w:after="156"/>
      </w:pPr>
      <w:r>
        <w:rPr>
          <w:rFonts w:hint="eastAsia"/>
        </w:rPr>
        <w:t>证据权法</w:t>
      </w:r>
    </w:p>
    <w:p w14:paraId="260D4656">
      <w:pPr>
        <w:pStyle w:val="58"/>
        <w:ind w:firstLine="420"/>
      </w:pPr>
      <w:r>
        <w:rPr>
          <w:rFonts w:hint="eastAsia"/>
        </w:rPr>
        <w:t>证据权法通过对与地质灾害形成相关的影响因素的权重指数进行叠加分析，开展地质灾害易发性评价。其中，每种影响因素都被视为地质灾害易发性评价的证据因子，各证据因子对地质灾害易发性的贡献由该因子的权重值来表征。一般将各证据因子图层网格化为不连续的二值化图层：1代表因子对灾害发生的证据存在，0代表不存在；通过证据权模型给出该二值化的证据因子图层的权重，最终叠加多元图层，实现地质灾害易发性评价。证据权法的分析流程如下：</w:t>
      </w:r>
    </w:p>
    <w:p w14:paraId="66500B03">
      <w:pPr>
        <w:pStyle w:val="176"/>
        <w:numPr>
          <w:ilvl w:val="0"/>
          <w:numId w:val="58"/>
        </w:numPr>
      </w:pPr>
      <w:r>
        <w:rPr>
          <w:rFonts w:hint="eastAsia"/>
        </w:rPr>
        <w:t>权重计算</w:t>
      </w:r>
    </w:p>
    <w:p w14:paraId="27C34DA7">
      <w:pPr>
        <w:pStyle w:val="58"/>
        <w:ind w:firstLine="420"/>
      </w:pPr>
      <w:r>
        <w:rPr>
          <w:rFonts w:hint="eastAsia"/>
        </w:rPr>
        <w:t>计算每一个证据因子的权重，首先要把整个工作区栅格化；利用条件概率计算证据因子图层所有单元对地质灾害发生的贡献权重。假设工作区被划分成面积相等的T个单元，其中D为地质灾害单元数， 为非地质灾害单元数。对于该证据因子，B/D和B/(D分别表示证据因子在地质灾害单元和非地质灾害单元内存在的单元数，(B/D和(B/(D分别表示证据因子在地质灾害单元和非地质灾害单元内不存在的单元数。其权重定义为公式表示为：</w:t>
      </w:r>
    </w:p>
    <w:p w14:paraId="147EDF43">
      <w:pPr>
        <w:pStyle w:val="115"/>
      </w:pPr>
      <w:r>
        <w:rPr>
          <w:rFonts w:hint="eastAsia"/>
        </w:rPr>
        <w:tab/>
      </w:r>
      <m:oMath>
        <m:sSup>
          <m:sSupPr>
            <m:ctrlPr>
              <w:rPr>
                <w:rFonts w:ascii="Cambria Math" w:hAnsi="Cambria Math"/>
                <w:i/>
              </w:rPr>
            </m:ctrlPr>
          </m:sSupPr>
          <m:e>
            <m:r>
              <m:rPr/>
              <w:rPr>
                <w:rFonts w:ascii="Cambria Math" w:hAnsi="Cambria Math"/>
              </w:rPr>
              <m:t>W</m:t>
            </m:r>
            <m:ctrlPr>
              <w:rPr>
                <w:rFonts w:ascii="Cambria Math" w:hAnsi="Cambria Math"/>
                <w:i/>
              </w:rPr>
            </m:ctrlPr>
          </m:e>
          <m:sup>
            <m:r>
              <m:rPr/>
              <w:rPr>
                <w:rFonts w:ascii="Cambria Math" w:hAnsi="Cambria Math"/>
              </w:rPr>
              <m:t>+</m:t>
            </m:r>
            <m:ctrlPr>
              <w:rPr>
                <w:rFonts w:ascii="Cambria Math" w:hAnsi="Cambria Math"/>
                <w:i/>
              </w:rPr>
            </m:ctrlPr>
          </m:sup>
        </m:sSup>
        <m:r>
          <m:rPr/>
          <w:rPr>
            <w:rFonts w:ascii="Cambria Math" w:hAnsi="Cambria Math"/>
          </w:rPr>
          <m:t>=</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r>
                  <m:rPr/>
                  <w:rPr>
                    <w:rFonts w:ascii="Cambria Math" w:hAnsi="Cambria Math"/>
                  </w:rPr>
                  <m:t>P(B/D)</m:t>
                </m:r>
                <m:ctrlPr>
                  <w:rPr>
                    <w:rFonts w:ascii="Cambria Math" w:hAnsi="Cambria Math"/>
                    <w:i/>
                  </w:rPr>
                </m:ctrlPr>
              </m:num>
              <m:den>
                <m:r>
                  <m:rPr/>
                  <w:rPr>
                    <w:rFonts w:ascii="Cambria Math" w:hAnsi="Cambria Math"/>
                  </w:rPr>
                  <m:t>P(B/</m:t>
                </m:r>
                <m:acc>
                  <m:accPr>
                    <m:chr m:val="̅"/>
                    <m:ctrlPr>
                      <w:rPr>
                        <w:rFonts w:ascii="Cambria Math" w:hAnsi="Cambria Math"/>
                        <w:i/>
                      </w:rPr>
                    </m:ctrlPr>
                  </m:accPr>
                  <m:e>
                    <m:r>
                      <m:rPr/>
                      <w:rPr>
                        <w:rFonts w:ascii="Cambria Math" w:hAnsi="Cambria Math"/>
                      </w:rPr>
                      <m:t>D</m:t>
                    </m:r>
                    <m:ctrlPr>
                      <w:rPr>
                        <w:rFonts w:ascii="Cambria Math" w:hAnsi="Cambria Math"/>
                        <w:i/>
                      </w:rPr>
                    </m:ctrlPr>
                  </m:e>
                </m:acc>
                <m:r>
                  <m:rPr/>
                  <w:rPr>
                    <w:rFonts w:ascii="Cambria Math" w:hAnsi="Cambria Math"/>
                  </w:rPr>
                  <m:t>)</m:t>
                </m:r>
                <m:ctrlPr>
                  <w:rPr>
                    <w:rFonts w:ascii="Cambria Math" w:hAnsi="Cambria Math"/>
                    <w:i/>
                  </w:rPr>
                </m:ctrlPr>
              </m:den>
            </m:f>
            <m:ctrlPr>
              <w:rPr>
                <w:rFonts w:ascii="Cambria Math" w:hAnsi="Cambria Math"/>
                <w:i/>
              </w:rPr>
            </m:ctrlPr>
          </m:e>
        </m:func>
      </m:oMath>
      <w:r>
        <w:rPr>
          <w:rFonts w:hint="eastAsia" w:ascii="微软雅黑" w:hAnsi="微软雅黑" w:eastAsia="微软雅黑"/>
        </w:rPr>
        <w:tab/>
      </w:r>
      <w:r>
        <w:t>(I.</w:t>
      </w:r>
      <w:r>
        <w:fldChar w:fldCharType="begin"/>
      </w:r>
      <w:r>
        <w:instrText xml:space="preserve">  seq fulu_equation_133678635200375196  </w:instrText>
      </w:r>
      <w:r>
        <w:fldChar w:fldCharType="separate"/>
      </w:r>
      <w:r>
        <w:t>4</w:t>
      </w:r>
      <w:r>
        <w:fldChar w:fldCharType="end"/>
      </w:r>
      <w:r>
        <w:t>)</w:t>
      </w:r>
    </w:p>
    <w:p w14:paraId="4A60B50C">
      <w:pPr>
        <w:pStyle w:val="57"/>
        <w:ind w:firstLine="420"/>
      </w:pPr>
      <w:r>
        <w:rPr>
          <w:rFonts w:hint="eastAsia"/>
        </w:rPr>
        <w:t>式中：</w:t>
      </w:r>
    </w:p>
    <w:p w14:paraId="441424C3">
      <w:pPr>
        <w:pStyle w:val="176"/>
        <w:numPr>
          <w:ilvl w:val="0"/>
          <w:numId w:val="0"/>
        </w:numPr>
        <w:ind w:left="851" w:hanging="426"/>
      </w:pPr>
      <w:r>
        <w:rPr>
          <w:rFonts w:hint="eastAsia"/>
        </w:rPr>
        <w:t>W</w:t>
      </w:r>
      <w:r>
        <w:rPr>
          <w:vertAlign w:val="superscript"/>
        </w:rPr>
        <w:t>+</w:t>
      </w:r>
      <w:r>
        <w:rPr>
          <w:rFonts w:hint="eastAsia"/>
        </w:rPr>
        <w:t>——证据因子存在区的权重值；</w:t>
      </w:r>
    </w:p>
    <w:p w14:paraId="53D31BF7">
      <w:pPr>
        <w:pStyle w:val="176"/>
        <w:numPr>
          <w:ilvl w:val="0"/>
          <w:numId w:val="0"/>
        </w:numPr>
        <w:ind w:left="851" w:hanging="426"/>
      </w:pPr>
      <w:r>
        <w:rPr>
          <w:rFonts w:hint="eastAsia"/>
        </w:rPr>
        <w:t>B ——证据因子单元数；</w:t>
      </w:r>
    </w:p>
    <w:p w14:paraId="64E4A560">
      <w:pPr>
        <w:pStyle w:val="176"/>
        <w:numPr>
          <w:ilvl w:val="0"/>
          <w:numId w:val="0"/>
        </w:numPr>
        <w:ind w:left="851" w:hanging="426"/>
      </w:pPr>
      <w:r>
        <w:rPr>
          <w:rFonts w:hint="eastAsia"/>
        </w:rPr>
        <w:t>D ——地质灾害单元数；</w:t>
      </w:r>
    </w:p>
    <w:p w14:paraId="32A93B21">
      <w:pPr>
        <w:pStyle w:val="176"/>
        <w:numPr>
          <w:ilvl w:val="0"/>
          <w:numId w:val="0"/>
        </w:numPr>
        <w:ind w:left="851" w:hanging="426"/>
      </w:pPr>
      <m:oMath>
        <m:acc>
          <m:accPr>
            <m:chr m:val="̅"/>
            <m:ctrlPr>
              <w:rPr>
                <w:rFonts w:ascii="Cambria Math" w:hAnsi="Cambria Math"/>
                <w:i/>
              </w:rPr>
            </m:ctrlPr>
          </m:accPr>
          <m:e>
            <m:r>
              <m:rPr/>
              <w:rPr>
                <w:rFonts w:ascii="Cambria Math" w:hAnsi="Cambria Math"/>
              </w:rPr>
              <m:t>D</m:t>
            </m:r>
            <m:ctrlPr>
              <w:rPr>
                <w:rFonts w:ascii="Cambria Math" w:hAnsi="Cambria Math"/>
                <w:i/>
              </w:rPr>
            </m:ctrlPr>
          </m:e>
        </m:acc>
      </m:oMath>
      <w:r>
        <w:rPr>
          <w:rFonts w:hint="eastAsia"/>
        </w:rPr>
        <w:t xml:space="preserve"> ——非地质灾害单元数。</w:t>
      </w:r>
    </w:p>
    <w:p w14:paraId="2E3A45DE">
      <w:pPr>
        <w:pStyle w:val="115"/>
      </w:pPr>
      <w:r>
        <w:rPr>
          <w:rFonts w:hint="eastAsia"/>
        </w:rPr>
        <w:tab/>
      </w:r>
      <m:oMath>
        <m:sSup>
          <m:sSupPr>
            <m:ctrlPr>
              <w:rPr>
                <w:rFonts w:ascii="Cambria Math" w:hAnsi="Cambria Math"/>
                <w:i/>
              </w:rPr>
            </m:ctrlPr>
          </m:sSupPr>
          <m:e>
            <m:r>
              <m:rPr/>
              <w:rPr>
                <w:rFonts w:ascii="Cambria Math" w:hAnsi="Cambria Math"/>
              </w:rPr>
              <m:t>W</m:t>
            </m:r>
            <m:ctrlPr>
              <w:rPr>
                <w:rFonts w:ascii="Cambria Math" w:hAnsi="Cambria Math"/>
                <w:i/>
              </w:rPr>
            </m:ctrlPr>
          </m:e>
          <m:sup>
            <m:r>
              <m:rPr/>
              <w:rPr>
                <w:rFonts w:ascii="Cambria Math" w:hAnsi="Cambria Math"/>
              </w:rPr>
              <m:t>−</m:t>
            </m:r>
            <m:ctrlPr>
              <w:rPr>
                <w:rFonts w:ascii="Cambria Math" w:hAnsi="Cambria Math"/>
                <w:i/>
              </w:rPr>
            </m:ctrlPr>
          </m:sup>
        </m:sSup>
        <m:r>
          <m:rPr/>
          <w:rPr>
            <w:rFonts w:ascii="Cambria Math" w:hAnsi="Cambria Math"/>
          </w:rPr>
          <m:t>=</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r>
                  <m:rPr/>
                  <w:rPr>
                    <w:rFonts w:ascii="Cambria Math" w:hAnsi="Cambria Math"/>
                  </w:rPr>
                  <m:t>P(</m:t>
                </m:r>
                <m:acc>
                  <m:accPr>
                    <m:chr m:val="̅"/>
                    <m:ctrlPr>
                      <w:rPr>
                        <w:rFonts w:ascii="Cambria Math" w:hAnsi="Cambria Math"/>
                        <w:i/>
                      </w:rPr>
                    </m:ctrlPr>
                  </m:accPr>
                  <m:e>
                    <m:r>
                      <m:rPr/>
                      <w:rPr>
                        <w:rFonts w:ascii="Cambria Math" w:hAnsi="Cambria Math"/>
                      </w:rPr>
                      <m:t>B</m:t>
                    </m:r>
                    <m:ctrlPr>
                      <w:rPr>
                        <w:rFonts w:ascii="Cambria Math" w:hAnsi="Cambria Math"/>
                        <w:i/>
                      </w:rPr>
                    </m:ctrlPr>
                  </m:e>
                </m:acc>
                <m:r>
                  <m:rPr/>
                  <w:rPr>
                    <w:rFonts w:ascii="Cambria Math" w:hAnsi="Cambria Math"/>
                  </w:rPr>
                  <m:t>/D)</m:t>
                </m:r>
                <m:ctrlPr>
                  <w:rPr>
                    <w:rFonts w:ascii="Cambria Math" w:hAnsi="Cambria Math"/>
                    <w:i/>
                  </w:rPr>
                </m:ctrlPr>
              </m:num>
              <m:den>
                <m:r>
                  <m:rPr/>
                  <w:rPr>
                    <w:rFonts w:ascii="Cambria Math" w:hAnsi="Cambria Math"/>
                  </w:rPr>
                  <m:t>P(</m:t>
                </m:r>
                <m:acc>
                  <m:accPr>
                    <m:chr m:val="̅"/>
                    <m:ctrlPr>
                      <w:rPr>
                        <w:rFonts w:ascii="Cambria Math" w:hAnsi="Cambria Math"/>
                        <w:i/>
                      </w:rPr>
                    </m:ctrlPr>
                  </m:accPr>
                  <m:e>
                    <m:r>
                      <m:rPr/>
                      <w:rPr>
                        <w:rFonts w:ascii="Cambria Math" w:hAnsi="Cambria Math"/>
                      </w:rPr>
                      <m:t>B</m:t>
                    </m:r>
                    <m:ctrlPr>
                      <w:rPr>
                        <w:rFonts w:ascii="Cambria Math" w:hAnsi="Cambria Math"/>
                        <w:i/>
                      </w:rPr>
                    </m:ctrlPr>
                  </m:e>
                </m:acc>
                <m:r>
                  <m:rPr/>
                  <w:rPr>
                    <w:rFonts w:ascii="Cambria Math" w:hAnsi="Cambria Math"/>
                  </w:rPr>
                  <m:t>/</m:t>
                </m:r>
                <m:acc>
                  <m:accPr>
                    <m:chr m:val="̅"/>
                    <m:ctrlPr>
                      <w:rPr>
                        <w:rFonts w:ascii="Cambria Math" w:hAnsi="Cambria Math"/>
                        <w:i/>
                      </w:rPr>
                    </m:ctrlPr>
                  </m:accPr>
                  <m:e>
                    <m:r>
                      <m:rPr/>
                      <w:rPr>
                        <w:rFonts w:ascii="Cambria Math" w:hAnsi="Cambria Math"/>
                      </w:rPr>
                      <m:t>D</m:t>
                    </m:r>
                    <m:ctrlPr>
                      <w:rPr>
                        <w:rFonts w:ascii="Cambria Math" w:hAnsi="Cambria Math"/>
                        <w:i/>
                      </w:rPr>
                    </m:ctrlPr>
                  </m:e>
                </m:acc>
                <m:r>
                  <m:rPr/>
                  <w:rPr>
                    <w:rFonts w:ascii="Cambria Math" w:hAnsi="Cambria Math"/>
                  </w:rPr>
                  <m:t>)</m:t>
                </m:r>
                <m:ctrlPr>
                  <w:rPr>
                    <w:rFonts w:ascii="Cambria Math" w:hAnsi="Cambria Math"/>
                    <w:i/>
                  </w:rPr>
                </m:ctrlPr>
              </m:den>
            </m:f>
            <m:ctrlPr>
              <w:rPr>
                <w:rFonts w:ascii="Cambria Math" w:hAnsi="Cambria Math"/>
                <w:i/>
              </w:rPr>
            </m:ctrlPr>
          </m:e>
        </m:func>
      </m:oMath>
      <w:r>
        <w:rPr>
          <w:rFonts w:hint="eastAsia" w:ascii="微软雅黑" w:hAnsi="微软雅黑" w:eastAsia="微软雅黑"/>
        </w:rPr>
        <w:tab/>
      </w:r>
      <w:r>
        <w:t>(I.</w:t>
      </w:r>
      <w:r>
        <w:fldChar w:fldCharType="begin"/>
      </w:r>
      <w:r>
        <w:instrText xml:space="preserve">  seq fulu_equation_133678635200375196  </w:instrText>
      </w:r>
      <w:r>
        <w:fldChar w:fldCharType="separate"/>
      </w:r>
      <w:r>
        <w:t>5</w:t>
      </w:r>
      <w:r>
        <w:fldChar w:fldCharType="end"/>
      </w:r>
      <w:r>
        <w:t>)</w:t>
      </w:r>
    </w:p>
    <w:p w14:paraId="7225AB6C">
      <w:pPr>
        <w:pStyle w:val="57"/>
        <w:ind w:firstLine="420"/>
      </w:pPr>
      <w:r>
        <w:rPr>
          <w:rFonts w:hint="eastAsia"/>
        </w:rPr>
        <w:t>式中：</w:t>
      </w:r>
    </w:p>
    <w:p w14:paraId="3C61C5EA">
      <w:pPr>
        <w:pStyle w:val="176"/>
        <w:numPr>
          <w:ilvl w:val="0"/>
          <w:numId w:val="0"/>
        </w:numPr>
        <w:ind w:left="851" w:hanging="426"/>
      </w:pPr>
      <w:r>
        <w:t>W</w:t>
      </w:r>
      <w:r>
        <w:rPr>
          <w:vertAlign w:val="superscript"/>
        </w:rPr>
        <w:t xml:space="preserve">- </w:t>
      </w:r>
      <w:r>
        <w:t>——证据因子不存在区的权重值；</w:t>
      </w:r>
    </w:p>
    <w:p w14:paraId="0DF26718">
      <w:pPr>
        <w:pStyle w:val="176"/>
        <w:numPr>
          <w:ilvl w:val="0"/>
          <w:numId w:val="0"/>
        </w:numPr>
        <w:ind w:left="851" w:hanging="426"/>
      </w:pPr>
      <m:oMath>
        <m:acc>
          <m:accPr>
            <m:chr m:val="̅"/>
            <m:ctrlPr>
              <w:rPr>
                <w:rFonts w:ascii="Cambria Math" w:hAnsi="Cambria Math"/>
                <w:i/>
              </w:rPr>
            </m:ctrlPr>
          </m:accPr>
          <m:e>
            <m:r>
              <m:rPr/>
              <w:rPr>
                <w:rFonts w:ascii="Cambria Math" w:hAnsi="Cambria Math"/>
              </w:rPr>
              <m:t>D</m:t>
            </m:r>
            <m:ctrlPr>
              <w:rPr>
                <w:rFonts w:ascii="Cambria Math" w:hAnsi="Cambria Math"/>
                <w:i/>
              </w:rPr>
            </m:ctrlPr>
          </m:e>
        </m:acc>
      </m:oMath>
      <w:r>
        <w:t xml:space="preserve"> ——证据因子不存在的单元数；</w:t>
      </w:r>
    </w:p>
    <w:p w14:paraId="0B48F26B">
      <w:pPr>
        <w:pStyle w:val="58"/>
        <w:ind w:firstLine="420"/>
      </w:pPr>
      <w:r>
        <w:rPr>
          <w:rFonts w:hint="eastAsia"/>
        </w:rPr>
        <w:t>证据因子权重由落入特定证据因子图层的灾点数和全部灾点数之比与证据因子图层面积和工作区总面积之比的比值决定。证据因子和灾点正相关表示为W</w:t>
      </w:r>
      <w:r>
        <w:rPr>
          <w:rFonts w:hint="eastAsia"/>
          <w:vertAlign w:val="superscript"/>
        </w:rPr>
        <w:t>+</w:t>
      </w:r>
      <w:r>
        <w:rPr>
          <w:rFonts w:hint="eastAsia"/>
        </w:rPr>
        <w:t>＞0，W</w:t>
      </w:r>
      <w:r>
        <w:rPr>
          <w:rFonts w:hint="eastAsia"/>
          <w:vertAlign w:val="subscript"/>
        </w:rPr>
        <w:t>-</w:t>
      </w:r>
      <w:r>
        <w:rPr>
          <w:rFonts w:hint="eastAsia"/>
        </w:rPr>
        <w:t>＜0，负相关为W</w:t>
      </w:r>
      <w:r>
        <w:rPr>
          <w:rFonts w:hint="eastAsia"/>
          <w:vertAlign w:val="superscript"/>
        </w:rPr>
        <w:t>+</w:t>
      </w:r>
      <w:r>
        <w:rPr>
          <w:rFonts w:hint="eastAsia"/>
        </w:rPr>
        <w:t>＜0，W</w:t>
      </w:r>
      <w:r>
        <w:rPr>
          <w:rFonts w:hint="eastAsia"/>
          <w:vertAlign w:val="superscript"/>
        </w:rPr>
        <w:t>-</w:t>
      </w:r>
      <w:r>
        <w:rPr>
          <w:rFonts w:hint="eastAsia"/>
        </w:rPr>
        <w:t>＞0，不相关时权重为0。对于原始数据缺失区域，其权重值为0。相对系数C=W</w:t>
      </w:r>
      <w:r>
        <w:rPr>
          <w:rFonts w:hint="eastAsia"/>
          <w:vertAlign w:val="superscript"/>
        </w:rPr>
        <w:t>+</w:t>
      </w:r>
      <w:r>
        <w:t>-</w:t>
      </w:r>
      <w:r>
        <w:rPr>
          <w:rFonts w:hint="eastAsia"/>
        </w:rPr>
        <w:t>W</w:t>
      </w:r>
      <w:r>
        <w:rPr>
          <w:rFonts w:hint="eastAsia"/>
          <w:vertAlign w:val="superscript"/>
        </w:rPr>
        <w:t>-</w:t>
      </w:r>
      <w:r>
        <w:rPr>
          <w:rFonts w:hint="eastAsia"/>
        </w:rPr>
        <w:t>，用来度量证据图层和地质灾害之间的相关性大小。</w:t>
      </w:r>
    </w:p>
    <w:p w14:paraId="4418192F">
      <w:pPr>
        <w:pStyle w:val="176"/>
      </w:pPr>
      <w:r>
        <w:rPr>
          <w:rFonts w:hint="eastAsia"/>
        </w:rPr>
        <w:t>证据综合：</w:t>
      </w:r>
    </w:p>
    <w:p w14:paraId="2F4CE868">
      <w:pPr>
        <w:pStyle w:val="58"/>
        <w:ind w:firstLine="420"/>
      </w:pPr>
      <w:r>
        <w:rPr>
          <w:rFonts w:hint="eastAsia"/>
        </w:rPr>
        <w:t>在上述权重值计算及分析的基础上，通过证据层的优选，选择权重值较大、与地质灾害关系密切的证据层，剔除权重值较小、与地质灾害关系不密切的证据层；进一步进行证据因子相对灾点的条件独立性检验，剔除地质灾害权重值相对较小而与其它证据因子相关性大的证据层。对最终筛选出的n个关于滑坡点条件独立的证据因子，根据贝叶斯法则，研究区任一单元K为地质灾害的可能性，即对数后验概率用公式表示如下：</w:t>
      </w:r>
    </w:p>
    <w:p w14:paraId="35FE595B">
      <w:pPr>
        <w:pStyle w:val="115"/>
      </w:pPr>
      <w:r>
        <w:rPr>
          <w:rFonts w:hint="eastAsia"/>
        </w:rPr>
        <w:tab/>
      </w:r>
      <m:oMath>
        <m:r>
          <m:rPr/>
          <w:rPr>
            <w:rFonts w:ascii="Cambria Math" w:hAnsi="Cambria Math"/>
          </w:rPr>
          <m:t>F=</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r>
              <m:rPr/>
              <w:rPr>
                <w:rFonts w:ascii="Cambria Math" w:hAnsi="Cambria Math"/>
              </w:rPr>
              <m:t>O(D/</m:t>
            </m:r>
            <m:nary>
              <m:naryPr>
                <m:chr m:val="∑"/>
                <m:limLoc m:val="undOvr"/>
                <m:ctrlPr>
                  <w:rPr>
                    <w:rFonts w:ascii="Cambria Math" w:hAnsi="Cambria Math"/>
                    <w:i/>
                  </w:rPr>
                </m:ctrlPr>
              </m:naryPr>
              <m:sub>
                <m:r>
                  <m:rPr/>
                  <w:rPr>
                    <w:rFonts w:ascii="Cambria Math" w:hAnsi="Cambria Math"/>
                  </w:rPr>
                  <m:t>i=1</m:t>
                </m:r>
                <m:ctrlPr>
                  <w:rPr>
                    <w:rFonts w:ascii="Cambria Math" w:hAnsi="Cambria Math"/>
                    <w:i/>
                  </w:rPr>
                </m:ctrlPr>
              </m:sub>
              <m:sup>
                <m:r>
                  <m:rPr/>
                  <w:rPr>
                    <w:rFonts w:ascii="Cambria Math" w:hAnsi="Cambria Math"/>
                  </w:rPr>
                  <m:t>n</m:t>
                </m:r>
                <m:ctrlPr>
                  <w:rPr>
                    <w:rFonts w:ascii="Cambria Math" w:hAnsi="Cambria Math"/>
                    <w:i/>
                  </w:rPr>
                </m:ctrlPr>
              </m:sup>
              <m:e>
                <m:sSubSup>
                  <m:sSubSupPr>
                    <m:ctrlPr>
                      <w:rPr>
                        <w:rFonts w:ascii="Cambria Math" w:hAnsi="Cambria Math"/>
                        <w:i/>
                      </w:rPr>
                    </m:ctrlPr>
                  </m:sSubSupPr>
                  <m:e>
                    <m:r>
                      <m:rPr/>
                      <w:rPr>
                        <w:rFonts w:ascii="Cambria Math" w:hAnsi="Cambria Math"/>
                      </w:rPr>
                      <m:t>B</m:t>
                    </m:r>
                    <m:ctrlPr>
                      <w:rPr>
                        <w:rFonts w:ascii="Cambria Math" w:hAnsi="Cambria Math"/>
                        <w:i/>
                      </w:rPr>
                    </m:ctrlPr>
                  </m:e>
                  <m:sub>
                    <m:r>
                      <m:rPr/>
                      <w:rPr>
                        <w:rFonts w:ascii="Cambria Math" w:hAnsi="Cambria Math"/>
                      </w:rPr>
                      <m:t>i</m:t>
                    </m:r>
                    <m:ctrlPr>
                      <w:rPr>
                        <w:rFonts w:ascii="Cambria Math" w:hAnsi="Cambria Math"/>
                        <w:i/>
                      </w:rPr>
                    </m:ctrlPr>
                  </m:sub>
                  <m:sup>
                    <m:r>
                      <m:rPr/>
                      <w:rPr>
                        <w:rFonts w:ascii="Cambria Math" w:hAnsi="Cambria Math"/>
                      </w:rPr>
                      <m:t>K</m:t>
                    </m:r>
                    <m:d>
                      <m:dPr>
                        <m:ctrlPr>
                          <w:rPr>
                            <w:rFonts w:ascii="Cambria Math" w:hAnsi="Cambria Math"/>
                            <w:i/>
                          </w:rPr>
                        </m:ctrlPr>
                      </m:dPr>
                      <m:e>
                        <m:r>
                          <m:rPr/>
                          <w:rPr>
                            <w:rFonts w:ascii="Cambria Math" w:hAnsi="Cambria Math"/>
                          </w:rPr>
                          <m:t>i</m:t>
                        </m:r>
                        <m:ctrlPr>
                          <w:rPr>
                            <w:rFonts w:ascii="Cambria Math" w:hAnsi="Cambria Math"/>
                            <w:i/>
                          </w:rPr>
                        </m:ctrlPr>
                      </m:e>
                    </m:d>
                    <m:ctrlPr>
                      <w:rPr>
                        <w:rFonts w:ascii="Cambria Math" w:hAnsi="Cambria Math"/>
                        <w:i/>
                      </w:rPr>
                    </m:ctrlPr>
                  </m:sup>
                </m:sSubSup>
                <m:ctrlPr>
                  <w:rPr>
                    <w:rFonts w:ascii="Cambria Math" w:hAnsi="Cambria Math"/>
                    <w:i/>
                  </w:rPr>
                </m:ctrlPr>
              </m:e>
            </m:nary>
            <m:ctrlPr>
              <w:rPr>
                <w:rFonts w:ascii="Cambria Math" w:hAnsi="Cambria Math"/>
                <w:i/>
              </w:rPr>
            </m:ctrlPr>
          </m:e>
        </m:func>
        <m:r>
          <m:rPr/>
          <w:rPr>
            <w:rFonts w:ascii="Cambria Math" w:hAnsi="Cambria Math"/>
          </w:rPr>
          <m:t>)=</m:t>
        </m:r>
        <m:nary>
          <m:naryPr>
            <m:chr m:val="∑"/>
            <m:limLoc m:val="undOvr"/>
            <m:ctrlPr>
              <w:rPr>
                <w:rFonts w:ascii="Cambria Math" w:hAnsi="Cambria Math"/>
                <w:i/>
              </w:rPr>
            </m:ctrlPr>
          </m:naryPr>
          <m:sub>
            <m:r>
              <m:rPr/>
              <w:rPr>
                <w:rFonts w:ascii="Cambria Math" w:hAnsi="Cambria Math"/>
              </w:rPr>
              <m:t>i=0</m:t>
            </m:r>
            <m:ctrlPr>
              <w:rPr>
                <w:rFonts w:ascii="Cambria Math" w:hAnsi="Cambria Math"/>
                <w:i/>
              </w:rPr>
            </m:ctrlPr>
          </m:sub>
          <m:sup>
            <m:r>
              <m:rPr/>
              <w:rPr>
                <w:rFonts w:ascii="Cambria Math" w:hAnsi="Cambria Math"/>
              </w:rPr>
              <m:t>n</m:t>
            </m:r>
            <m:ctrlPr>
              <w:rPr>
                <w:rFonts w:ascii="Cambria Math" w:hAnsi="Cambria Math"/>
                <w:i/>
              </w:rPr>
            </m:ctrlPr>
          </m:sup>
          <m:e>
            <m:sSubSup>
              <m:sSubSupPr>
                <m:ctrlPr>
                  <w:rPr>
                    <w:rFonts w:ascii="Cambria Math" w:hAnsi="Cambria Math"/>
                    <w:i/>
                  </w:rPr>
                </m:ctrlPr>
              </m:sSubSupPr>
              <m:e>
                <m:r>
                  <m:rPr/>
                  <w:rPr>
                    <w:rFonts w:ascii="Cambria Math" w:hAnsi="Cambria Math"/>
                  </w:rPr>
                  <m:t>W</m:t>
                </m:r>
                <m:ctrlPr>
                  <w:rPr>
                    <w:rFonts w:ascii="Cambria Math" w:hAnsi="Cambria Math"/>
                    <w:i/>
                  </w:rPr>
                </m:ctrlPr>
              </m:e>
              <m:sub>
                <m:r>
                  <m:rPr/>
                  <w:rPr>
                    <w:rFonts w:ascii="Cambria Math" w:hAnsi="Cambria Math"/>
                  </w:rPr>
                  <m:t>i</m:t>
                </m:r>
                <m:ctrlPr>
                  <w:rPr>
                    <w:rFonts w:ascii="Cambria Math" w:hAnsi="Cambria Math"/>
                    <w:i/>
                  </w:rPr>
                </m:ctrlPr>
              </m:sub>
              <m:sup>
                <m:r>
                  <m:rPr/>
                  <w:rPr>
                    <w:rFonts w:ascii="Cambria Math" w:hAnsi="Cambria Math"/>
                  </w:rPr>
                  <m:t>k</m:t>
                </m:r>
                <m:ctrlPr>
                  <w:rPr>
                    <w:rFonts w:ascii="Cambria Math" w:hAnsi="Cambria Math"/>
                    <w:i/>
                  </w:rPr>
                </m:ctrlPr>
              </m:sup>
            </m:sSubSup>
            <m:r>
              <m:rPr/>
              <w:rPr>
                <w:rFonts w:ascii="Cambria Math" w:hAnsi="Cambria Math"/>
              </w:rPr>
              <m:t>+</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r>
                  <m:rPr/>
                  <w:rPr>
                    <w:rFonts w:ascii="Cambria Math" w:hAnsi="Cambria Math"/>
                  </w:rPr>
                  <m:t>O</m:t>
                </m:r>
                <m:d>
                  <m:dPr>
                    <m:ctrlPr>
                      <w:rPr>
                        <w:rFonts w:ascii="Cambria Math" w:hAnsi="Cambria Math"/>
                        <w:i/>
                      </w:rPr>
                    </m:ctrlPr>
                  </m:dPr>
                  <m:e>
                    <m:r>
                      <m:rPr/>
                      <w:rPr>
                        <w:rFonts w:ascii="Cambria Math" w:hAnsi="Cambria Math"/>
                      </w:rPr>
                      <m:t>D</m:t>
                    </m:r>
                    <m:ctrlPr>
                      <w:rPr>
                        <w:rFonts w:ascii="Cambria Math" w:hAnsi="Cambria Math"/>
                        <w:i/>
                      </w:rPr>
                    </m:ctrlPr>
                  </m:e>
                </m:d>
                <m:ctrlPr>
                  <w:rPr>
                    <w:rFonts w:ascii="Cambria Math" w:hAnsi="Cambria Math"/>
                    <w:i/>
                  </w:rPr>
                </m:ctrlPr>
              </m:e>
            </m:func>
            <m:ctrlPr>
              <w:rPr>
                <w:rFonts w:ascii="Cambria Math" w:hAnsi="Cambria Math"/>
                <w:i/>
              </w:rPr>
            </m:ctrlPr>
          </m:e>
        </m:nary>
        <m:r>
          <m:rPr/>
          <w:rPr>
            <w:rFonts w:ascii="Cambria Math" w:hAnsi="Cambria Math"/>
          </w:rPr>
          <m:t xml:space="preserve">      O</m:t>
        </m:r>
        <m:d>
          <m:dPr>
            <m:ctrlPr>
              <w:rPr>
                <w:rFonts w:ascii="Cambria Math" w:hAnsi="Cambria Math"/>
                <w:i/>
              </w:rPr>
            </m:ctrlPr>
          </m:dPr>
          <m:e>
            <m:r>
              <m:rPr/>
              <w:rPr>
                <w:rFonts w:ascii="Cambria Math" w:hAnsi="Cambria Math"/>
              </w:rPr>
              <m:t>D</m:t>
            </m:r>
            <m:ctrlPr>
              <w:rPr>
                <w:rFonts w:ascii="Cambria Math" w:hAnsi="Cambria Math"/>
                <w:i/>
              </w:rPr>
            </m:ctrlPr>
          </m:e>
        </m:d>
        <m:r>
          <m:rPr/>
          <w:rPr>
            <w:rFonts w:ascii="Cambria Math" w:hAnsi="Cambria Math"/>
          </w:rPr>
          <m:t>=D/(T−D)</m:t>
        </m:r>
      </m:oMath>
      <w:r>
        <w:rPr>
          <w:rFonts w:hint="eastAsia" w:ascii="微软雅黑" w:hAnsi="微软雅黑" w:eastAsia="微软雅黑"/>
        </w:rPr>
        <w:tab/>
      </w:r>
      <w:r>
        <w:t>(I.</w:t>
      </w:r>
      <w:r>
        <w:fldChar w:fldCharType="begin"/>
      </w:r>
      <w:r>
        <w:instrText xml:space="preserve">  seq fulu_equation_133678635200375196  </w:instrText>
      </w:r>
      <w:r>
        <w:fldChar w:fldCharType="separate"/>
      </w:r>
      <w:r>
        <w:t>6</w:t>
      </w:r>
      <w:r>
        <w:fldChar w:fldCharType="end"/>
      </w:r>
      <w:r>
        <w:t>)</w:t>
      </w:r>
    </w:p>
    <w:p w14:paraId="0AD19348">
      <w:pPr>
        <w:pStyle w:val="57"/>
        <w:ind w:firstLine="420"/>
      </w:pPr>
      <w:r>
        <w:rPr>
          <w:rFonts w:hint="eastAsia"/>
        </w:rPr>
        <w:t>式中：</w:t>
      </w:r>
    </w:p>
    <w:p w14:paraId="005867E3">
      <w:pPr>
        <w:pStyle w:val="58"/>
        <w:ind w:firstLine="420"/>
      </w:pPr>
      <w:r>
        <w:rPr>
          <w:rFonts w:hint="eastAsia"/>
        </w:rPr>
        <w:t>O ——概率；</w:t>
      </w:r>
    </w:p>
    <w:p w14:paraId="5A961142">
      <w:pPr>
        <w:pStyle w:val="58"/>
        <w:ind w:firstLine="420"/>
      </w:pPr>
      <w:r>
        <w:rPr>
          <w:rFonts w:hint="eastAsia"/>
        </w:rPr>
        <w:t>D ——存在地质灾害的单元数；</w:t>
      </w:r>
    </w:p>
    <w:p w14:paraId="4A20E7BF">
      <w:pPr>
        <w:pStyle w:val="58"/>
        <w:ind w:firstLine="420"/>
      </w:pPr>
      <w:r>
        <w:rPr>
          <w:rFonts w:hint="eastAsia"/>
        </w:rPr>
        <w:t>T ——调查区单元数；</w:t>
      </w:r>
    </w:p>
    <w:p w14:paraId="6B675949">
      <w:pPr>
        <w:pStyle w:val="58"/>
        <w:ind w:firstLine="420"/>
      </w:pPr>
      <w:r>
        <w:rPr>
          <w:rFonts w:hint="eastAsia"/>
        </w:rPr>
        <w:t>Bi——第i个证据层；</w:t>
      </w:r>
    </w:p>
    <w:p w14:paraId="76D9299F">
      <w:pPr>
        <w:pStyle w:val="58"/>
        <w:ind w:firstLine="420"/>
      </w:pPr>
      <w:r>
        <w:rPr>
          <w:rFonts w:hint="eastAsia"/>
        </w:rPr>
        <w:t>K（i）——在第i个证据因子层存在时是+，不存时是-；</w:t>
      </w:r>
    </w:p>
    <w:p w14:paraId="6F432DB4">
      <w:pPr>
        <w:pStyle w:val="58"/>
        <w:ind w:firstLine="420"/>
      </w:pPr>
      <w:r>
        <w:rPr>
          <w:rFonts w:hint="eastAsia"/>
        </w:rPr>
        <w:t>W</w:t>
      </w:r>
      <w:r>
        <w:rPr>
          <w:rFonts w:hint="eastAsia"/>
          <w:vertAlign w:val="subscript"/>
        </w:rPr>
        <w:t>i</w:t>
      </w:r>
      <w:r>
        <w:rPr>
          <w:rFonts w:hint="eastAsia"/>
        </w:rPr>
        <w:t>——第i个证据因子存在或不存在的权重。</w:t>
      </w:r>
    </w:p>
    <w:p w14:paraId="3C6B5B39">
      <w:pPr>
        <w:pStyle w:val="58"/>
        <w:ind w:firstLine="420"/>
      </w:pPr>
      <w:r>
        <w:rPr>
          <w:rFonts w:hint="eastAsia"/>
        </w:rPr>
        <w:t>最后计算后验概率按公式如下：</w:t>
      </w:r>
    </w:p>
    <w:p w14:paraId="13A95547">
      <w:pPr>
        <w:pStyle w:val="115"/>
      </w:pPr>
      <w:r>
        <w:rPr>
          <w:rFonts w:hint="eastAsia"/>
        </w:rPr>
        <w:tab/>
      </w:r>
      <m:oMath>
        <m:r>
          <m:rPr/>
          <w:rPr>
            <w:rFonts w:ascii="Cambria Math" w:hAnsi="Cambria Math"/>
          </w:rPr>
          <m:t>P=O/(1+O)=exp(F)/(1+</m:t>
        </m:r>
        <m:r>
          <m:rPr/>
          <w:rPr>
            <w:rFonts w:hint="eastAsia" w:ascii="Cambria Math" w:hAnsi="Cambria Math"/>
          </w:rPr>
          <m:t>exp</m:t>
        </m:r>
        <m:r>
          <m:rPr/>
          <w:rPr>
            <w:rFonts w:ascii="Cambria Math" w:hAnsi="Cambria Math"/>
          </w:rPr>
          <m:t>(F))</m:t>
        </m:r>
      </m:oMath>
      <w:r>
        <w:rPr>
          <w:rFonts w:hint="eastAsia" w:ascii="微软雅黑" w:hAnsi="微软雅黑" w:eastAsia="微软雅黑"/>
        </w:rPr>
        <w:tab/>
      </w:r>
      <w:r>
        <w:t>(I.</w:t>
      </w:r>
      <w:r>
        <w:fldChar w:fldCharType="begin"/>
      </w:r>
      <w:r>
        <w:instrText xml:space="preserve">  seq fulu_equation_133678635200375196  </w:instrText>
      </w:r>
      <w:r>
        <w:fldChar w:fldCharType="separate"/>
      </w:r>
      <w:r>
        <w:t>7</w:t>
      </w:r>
      <w:r>
        <w:fldChar w:fldCharType="end"/>
      </w:r>
      <w:r>
        <w:t>)</w:t>
      </w:r>
    </w:p>
    <w:p w14:paraId="07D678B6">
      <w:pPr>
        <w:pStyle w:val="57"/>
        <w:ind w:firstLine="420"/>
      </w:pPr>
      <w:r>
        <w:rPr>
          <w:rFonts w:hint="eastAsia"/>
        </w:rPr>
        <w:t>式中：</w:t>
      </w:r>
    </w:p>
    <w:p w14:paraId="3834300A">
      <w:pPr>
        <w:pStyle w:val="58"/>
        <w:ind w:firstLine="420"/>
      </w:pPr>
      <w:r>
        <w:rPr>
          <w:rFonts w:ascii="Times New Roman"/>
          <w:i/>
          <w:iCs/>
          <w:szCs w:val="21"/>
          <w:lang w:bidi="ar"/>
        </w:rPr>
        <w:t>P ——</w:t>
      </w:r>
      <w:r>
        <w:rPr>
          <w:rFonts w:ascii="Times New Roman"/>
          <w:szCs w:val="21"/>
          <w:lang w:bidi="ar"/>
        </w:rPr>
        <w:t>后验概率值。</w:t>
      </w:r>
    </w:p>
    <w:p w14:paraId="23CB02EF">
      <w:pPr>
        <w:widowControl/>
        <w:spacing w:line="300" w:lineRule="auto"/>
        <w:ind w:firstLine="420" w:firstLineChars="200"/>
        <w:rPr>
          <w:rFonts w:ascii="Times New Roman" w:hAnsi="Times New Roman"/>
          <w:lang w:bidi="ar"/>
        </w:rPr>
      </w:pPr>
      <w:r>
        <w:rPr>
          <w:rFonts w:ascii="Times New Roman" w:hAnsi="Times New Roman"/>
          <w:lang w:bidi="ar"/>
        </w:rPr>
        <w:t>后验概率值的大小指示易发性的高低，其值在0～1之间。后验概率值越大，表示易发性越高；反之则反。</w:t>
      </w:r>
    </w:p>
    <w:p w14:paraId="4DC0BD3E">
      <w:pPr>
        <w:pStyle w:val="58"/>
        <w:ind w:firstLine="420"/>
        <w:sectPr>
          <w:pgSz w:w="11906" w:h="16838"/>
          <w:pgMar w:top="1928" w:right="1134" w:bottom="1134" w:left="1134" w:header="1418" w:footer="1134" w:gutter="284"/>
          <w:cols w:space="425" w:num="1"/>
          <w:formProt w:val="0"/>
          <w:docGrid w:type="lines" w:linePitch="312" w:charSpace="0"/>
        </w:sectPr>
      </w:pPr>
    </w:p>
    <w:p w14:paraId="7D9E9E4D">
      <w:pPr>
        <w:pStyle w:val="81"/>
        <w:spacing w:before="156" w:after="156"/>
      </w:pPr>
      <w:bookmarkStart w:id="334" w:name="_Toc176194177"/>
      <w:bookmarkStart w:id="335" w:name="_Toc178172381"/>
      <w:r>
        <w:rPr>
          <w:rFonts w:hint="eastAsia"/>
        </w:rPr>
        <w:t>泥石流易发性评价</w:t>
      </w:r>
      <w:bookmarkEnd w:id="334"/>
      <w:bookmarkEnd w:id="335"/>
    </w:p>
    <w:p w14:paraId="0D416EB5">
      <w:pPr>
        <w:pStyle w:val="79"/>
        <w:spacing w:before="156" w:after="156"/>
      </w:pPr>
      <w:bookmarkStart w:id="336" w:name="_Hlk167999790"/>
      <w:r>
        <w:rPr>
          <w:rFonts w:ascii="Times New Roman"/>
          <w:szCs w:val="21"/>
        </w:rPr>
        <w:t>泥石流易发程度评分参考表</w:t>
      </w:r>
      <w:bookmarkEnd w:id="336"/>
    </w:p>
    <w:tbl>
      <w:tblPr>
        <w:tblStyle w:val="28"/>
        <w:tblW w:w="13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6"/>
        <w:gridCol w:w="2473"/>
        <w:gridCol w:w="2388"/>
        <w:gridCol w:w="575"/>
        <w:gridCol w:w="2147"/>
        <w:gridCol w:w="585"/>
        <w:gridCol w:w="2156"/>
        <w:gridCol w:w="719"/>
        <w:gridCol w:w="1725"/>
        <w:gridCol w:w="626"/>
      </w:tblGrid>
      <w:tr w14:paraId="33D66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Merge w:val="restart"/>
            <w:vAlign w:val="center"/>
          </w:tcPr>
          <w:p w14:paraId="4CBF6B5C">
            <w:pPr>
              <w:spacing w:line="240" w:lineRule="auto"/>
              <w:jc w:val="center"/>
              <w:rPr>
                <w:rFonts w:ascii="宋体" w:hAnsi="宋体" w:cs="宋体"/>
                <w:sz w:val="18"/>
                <w:szCs w:val="18"/>
              </w:rPr>
            </w:pPr>
            <w:bookmarkStart w:id="337" w:name="_Hlk167999813"/>
            <w:r>
              <w:rPr>
                <w:rFonts w:hint="eastAsia" w:ascii="宋体" w:hAnsi="宋体" w:cs="宋体"/>
                <w:sz w:val="18"/>
                <w:szCs w:val="18"/>
              </w:rPr>
              <w:t>序号</w:t>
            </w:r>
          </w:p>
        </w:tc>
        <w:tc>
          <w:tcPr>
            <w:tcW w:w="2473" w:type="dxa"/>
            <w:vMerge w:val="restart"/>
            <w:vAlign w:val="center"/>
          </w:tcPr>
          <w:p w14:paraId="668695AA">
            <w:pPr>
              <w:spacing w:line="240" w:lineRule="auto"/>
              <w:jc w:val="center"/>
              <w:rPr>
                <w:rFonts w:ascii="宋体" w:hAnsi="宋体" w:cs="宋体"/>
                <w:sz w:val="18"/>
                <w:szCs w:val="18"/>
              </w:rPr>
            </w:pPr>
            <w:r>
              <w:rPr>
                <w:rFonts w:hint="eastAsia" w:ascii="宋体" w:hAnsi="宋体" w:cs="宋体"/>
                <w:sz w:val="18"/>
                <w:szCs w:val="18"/>
              </w:rPr>
              <w:t>影响因素</w:t>
            </w:r>
          </w:p>
        </w:tc>
        <w:tc>
          <w:tcPr>
            <w:tcW w:w="10921" w:type="dxa"/>
            <w:gridSpan w:val="8"/>
            <w:vAlign w:val="center"/>
          </w:tcPr>
          <w:p w14:paraId="54289484">
            <w:pPr>
              <w:spacing w:line="240" w:lineRule="auto"/>
              <w:jc w:val="center"/>
              <w:rPr>
                <w:rFonts w:ascii="宋体" w:hAnsi="宋体" w:cs="宋体"/>
                <w:sz w:val="18"/>
                <w:szCs w:val="18"/>
              </w:rPr>
            </w:pPr>
            <w:r>
              <w:rPr>
                <w:rFonts w:hint="eastAsia" w:ascii="宋体" w:hAnsi="宋体" w:cs="宋体"/>
                <w:sz w:val="18"/>
                <w:szCs w:val="18"/>
              </w:rPr>
              <w:t>量        级       划         分</w:t>
            </w:r>
          </w:p>
        </w:tc>
      </w:tr>
      <w:tr w14:paraId="02AC7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Merge w:val="continue"/>
            <w:vAlign w:val="center"/>
          </w:tcPr>
          <w:p w14:paraId="4400436D">
            <w:pPr>
              <w:spacing w:line="240" w:lineRule="auto"/>
              <w:jc w:val="center"/>
              <w:rPr>
                <w:rFonts w:ascii="宋体" w:hAnsi="宋体" w:cs="宋体"/>
                <w:sz w:val="18"/>
                <w:szCs w:val="18"/>
              </w:rPr>
            </w:pPr>
          </w:p>
        </w:tc>
        <w:tc>
          <w:tcPr>
            <w:tcW w:w="2473" w:type="dxa"/>
            <w:vMerge w:val="continue"/>
            <w:vAlign w:val="center"/>
          </w:tcPr>
          <w:p w14:paraId="592780F7">
            <w:pPr>
              <w:spacing w:line="240" w:lineRule="auto"/>
              <w:jc w:val="center"/>
              <w:rPr>
                <w:rFonts w:ascii="宋体" w:hAnsi="宋体" w:cs="宋体"/>
                <w:sz w:val="18"/>
                <w:szCs w:val="18"/>
              </w:rPr>
            </w:pPr>
          </w:p>
        </w:tc>
        <w:tc>
          <w:tcPr>
            <w:tcW w:w="2388" w:type="dxa"/>
            <w:vAlign w:val="center"/>
          </w:tcPr>
          <w:p w14:paraId="5B8B71CC">
            <w:pPr>
              <w:spacing w:line="240" w:lineRule="auto"/>
              <w:jc w:val="center"/>
              <w:rPr>
                <w:rFonts w:ascii="宋体" w:hAnsi="宋体" w:cs="宋体"/>
                <w:sz w:val="18"/>
                <w:szCs w:val="18"/>
              </w:rPr>
            </w:pPr>
            <w:r>
              <w:rPr>
                <w:rFonts w:hint="eastAsia" w:ascii="宋体" w:hAnsi="宋体" w:cs="宋体"/>
                <w:sz w:val="18"/>
                <w:szCs w:val="18"/>
              </w:rPr>
              <w:t>高易发</w:t>
            </w:r>
          </w:p>
        </w:tc>
        <w:tc>
          <w:tcPr>
            <w:tcW w:w="575" w:type="dxa"/>
            <w:vAlign w:val="center"/>
          </w:tcPr>
          <w:p w14:paraId="0F9998CC">
            <w:pPr>
              <w:spacing w:line="240" w:lineRule="auto"/>
              <w:ind w:left="7" w:leftChars="-73" w:right="-178" w:rightChars="-85" w:hanging="160" w:hangingChars="89"/>
              <w:jc w:val="center"/>
              <w:rPr>
                <w:rFonts w:ascii="宋体" w:hAnsi="宋体" w:cs="宋体"/>
                <w:sz w:val="18"/>
                <w:szCs w:val="18"/>
              </w:rPr>
            </w:pPr>
            <w:r>
              <w:rPr>
                <w:rFonts w:hint="eastAsia" w:ascii="宋体" w:hAnsi="宋体" w:cs="宋体"/>
                <w:sz w:val="18"/>
                <w:szCs w:val="18"/>
              </w:rPr>
              <w:t>得分</w:t>
            </w:r>
          </w:p>
        </w:tc>
        <w:tc>
          <w:tcPr>
            <w:tcW w:w="2147" w:type="dxa"/>
            <w:vAlign w:val="center"/>
          </w:tcPr>
          <w:p w14:paraId="12877CFD">
            <w:pPr>
              <w:spacing w:line="240" w:lineRule="auto"/>
              <w:jc w:val="center"/>
              <w:rPr>
                <w:rFonts w:ascii="宋体" w:hAnsi="宋体" w:cs="宋体"/>
                <w:sz w:val="18"/>
                <w:szCs w:val="18"/>
              </w:rPr>
            </w:pPr>
            <w:r>
              <w:rPr>
                <w:rFonts w:hint="eastAsia" w:ascii="宋体" w:hAnsi="宋体" w:cs="宋体"/>
                <w:sz w:val="18"/>
                <w:szCs w:val="18"/>
              </w:rPr>
              <w:t>中易发</w:t>
            </w:r>
          </w:p>
        </w:tc>
        <w:tc>
          <w:tcPr>
            <w:tcW w:w="585" w:type="dxa"/>
            <w:vAlign w:val="center"/>
          </w:tcPr>
          <w:p w14:paraId="72D2B632">
            <w:pPr>
              <w:spacing w:line="240" w:lineRule="auto"/>
              <w:jc w:val="center"/>
              <w:rPr>
                <w:rFonts w:ascii="宋体" w:hAnsi="宋体" w:cs="宋体"/>
                <w:sz w:val="18"/>
                <w:szCs w:val="18"/>
              </w:rPr>
            </w:pPr>
            <w:r>
              <w:rPr>
                <w:rFonts w:hint="eastAsia" w:ascii="宋体" w:hAnsi="宋体" w:cs="宋体"/>
                <w:sz w:val="18"/>
                <w:szCs w:val="18"/>
              </w:rPr>
              <w:t>得分</w:t>
            </w:r>
          </w:p>
        </w:tc>
        <w:tc>
          <w:tcPr>
            <w:tcW w:w="2156" w:type="dxa"/>
            <w:vAlign w:val="center"/>
          </w:tcPr>
          <w:p w14:paraId="18A49686">
            <w:pPr>
              <w:spacing w:line="240" w:lineRule="auto"/>
              <w:jc w:val="center"/>
              <w:rPr>
                <w:rFonts w:ascii="宋体" w:hAnsi="宋体" w:cs="宋体"/>
                <w:sz w:val="18"/>
                <w:szCs w:val="18"/>
              </w:rPr>
            </w:pPr>
            <w:r>
              <w:rPr>
                <w:rFonts w:hint="eastAsia" w:ascii="宋体" w:hAnsi="宋体" w:cs="宋体"/>
                <w:sz w:val="18"/>
                <w:szCs w:val="18"/>
              </w:rPr>
              <w:t>低易发</w:t>
            </w:r>
          </w:p>
        </w:tc>
        <w:tc>
          <w:tcPr>
            <w:tcW w:w="719" w:type="dxa"/>
            <w:vAlign w:val="center"/>
          </w:tcPr>
          <w:p w14:paraId="7D2F5DFB">
            <w:pPr>
              <w:spacing w:line="240" w:lineRule="auto"/>
              <w:jc w:val="center"/>
              <w:rPr>
                <w:rFonts w:ascii="宋体" w:hAnsi="宋体" w:cs="宋体"/>
                <w:sz w:val="18"/>
                <w:szCs w:val="18"/>
              </w:rPr>
            </w:pPr>
            <w:r>
              <w:rPr>
                <w:rFonts w:hint="eastAsia" w:ascii="宋体" w:hAnsi="宋体" w:cs="宋体"/>
                <w:sz w:val="18"/>
                <w:szCs w:val="18"/>
              </w:rPr>
              <w:t>得分</w:t>
            </w:r>
          </w:p>
        </w:tc>
        <w:tc>
          <w:tcPr>
            <w:tcW w:w="1725" w:type="dxa"/>
            <w:vAlign w:val="center"/>
          </w:tcPr>
          <w:p w14:paraId="1D355514">
            <w:pPr>
              <w:spacing w:line="240" w:lineRule="auto"/>
              <w:jc w:val="center"/>
              <w:rPr>
                <w:rFonts w:ascii="宋体" w:hAnsi="宋体" w:cs="宋体"/>
                <w:sz w:val="18"/>
                <w:szCs w:val="18"/>
              </w:rPr>
            </w:pPr>
            <w:r>
              <w:rPr>
                <w:rFonts w:hint="eastAsia" w:ascii="宋体" w:hAnsi="宋体" w:cs="宋体"/>
                <w:sz w:val="18"/>
                <w:szCs w:val="18"/>
              </w:rPr>
              <w:t>非易发</w:t>
            </w:r>
          </w:p>
        </w:tc>
        <w:tc>
          <w:tcPr>
            <w:tcW w:w="626" w:type="dxa"/>
            <w:vAlign w:val="center"/>
          </w:tcPr>
          <w:p w14:paraId="220DB383">
            <w:pPr>
              <w:spacing w:line="240" w:lineRule="auto"/>
              <w:jc w:val="center"/>
              <w:rPr>
                <w:rFonts w:ascii="宋体" w:hAnsi="宋体" w:cs="宋体"/>
                <w:sz w:val="18"/>
                <w:szCs w:val="18"/>
              </w:rPr>
            </w:pPr>
            <w:r>
              <w:rPr>
                <w:rFonts w:hint="eastAsia" w:ascii="宋体" w:hAnsi="宋体" w:cs="宋体"/>
                <w:sz w:val="18"/>
                <w:szCs w:val="18"/>
              </w:rPr>
              <w:t>得分</w:t>
            </w:r>
          </w:p>
        </w:tc>
      </w:tr>
      <w:tr w14:paraId="6EB0A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546" w:type="dxa"/>
            <w:vAlign w:val="center"/>
          </w:tcPr>
          <w:p w14:paraId="2DF234B2">
            <w:pPr>
              <w:spacing w:line="240" w:lineRule="auto"/>
              <w:jc w:val="center"/>
              <w:rPr>
                <w:rFonts w:ascii="宋体" w:hAnsi="宋体" w:cs="宋体"/>
                <w:sz w:val="18"/>
                <w:szCs w:val="18"/>
              </w:rPr>
            </w:pPr>
            <w:r>
              <w:rPr>
                <w:rFonts w:hint="eastAsia" w:ascii="宋体" w:hAnsi="宋体" w:cs="宋体"/>
                <w:sz w:val="18"/>
                <w:szCs w:val="18"/>
              </w:rPr>
              <w:t>1</w:t>
            </w:r>
          </w:p>
        </w:tc>
        <w:tc>
          <w:tcPr>
            <w:tcW w:w="2473" w:type="dxa"/>
            <w:vAlign w:val="center"/>
          </w:tcPr>
          <w:p w14:paraId="3FDC6449">
            <w:pPr>
              <w:spacing w:line="240" w:lineRule="auto"/>
              <w:jc w:val="center"/>
              <w:rPr>
                <w:rFonts w:ascii="宋体" w:hAnsi="宋体" w:cs="宋体"/>
                <w:sz w:val="18"/>
                <w:szCs w:val="18"/>
              </w:rPr>
            </w:pPr>
            <w:r>
              <w:rPr>
                <w:rFonts w:hint="eastAsia" w:ascii="宋体" w:hAnsi="宋体" w:cs="宋体"/>
                <w:sz w:val="18"/>
                <w:szCs w:val="18"/>
              </w:rPr>
              <w:t>崩塌滑坡及水土流失（自然和人为的）的严重程度</w:t>
            </w:r>
          </w:p>
        </w:tc>
        <w:tc>
          <w:tcPr>
            <w:tcW w:w="2388" w:type="dxa"/>
            <w:vAlign w:val="center"/>
          </w:tcPr>
          <w:p w14:paraId="05002A47">
            <w:pPr>
              <w:spacing w:line="240" w:lineRule="auto"/>
              <w:jc w:val="center"/>
              <w:rPr>
                <w:rFonts w:ascii="宋体" w:hAnsi="宋体" w:cs="宋体"/>
                <w:sz w:val="18"/>
                <w:szCs w:val="18"/>
              </w:rPr>
            </w:pPr>
            <w:r>
              <w:rPr>
                <w:rFonts w:hint="eastAsia" w:ascii="宋体" w:hAnsi="宋体" w:cs="宋体"/>
                <w:sz w:val="18"/>
                <w:szCs w:val="18"/>
              </w:rPr>
              <w:t>崩塌滑坡等重力侵蚀严重，多深层滑坡和大型崩塌，表土疏松，冲沟十分发育</w:t>
            </w:r>
          </w:p>
        </w:tc>
        <w:tc>
          <w:tcPr>
            <w:tcW w:w="575" w:type="dxa"/>
            <w:vAlign w:val="center"/>
          </w:tcPr>
          <w:p w14:paraId="72628C87">
            <w:pPr>
              <w:spacing w:line="240" w:lineRule="auto"/>
              <w:jc w:val="center"/>
              <w:rPr>
                <w:rFonts w:ascii="宋体" w:hAnsi="宋体" w:cs="宋体"/>
                <w:sz w:val="18"/>
                <w:szCs w:val="18"/>
              </w:rPr>
            </w:pPr>
            <w:r>
              <w:rPr>
                <w:rFonts w:hint="eastAsia" w:ascii="宋体" w:hAnsi="宋体" w:cs="宋体"/>
                <w:sz w:val="18"/>
                <w:szCs w:val="18"/>
              </w:rPr>
              <w:t>21</w:t>
            </w:r>
          </w:p>
        </w:tc>
        <w:tc>
          <w:tcPr>
            <w:tcW w:w="2147" w:type="dxa"/>
            <w:vAlign w:val="center"/>
          </w:tcPr>
          <w:p w14:paraId="49B613B9">
            <w:pPr>
              <w:spacing w:line="240" w:lineRule="auto"/>
              <w:rPr>
                <w:rFonts w:ascii="宋体" w:hAnsi="宋体" w:cs="宋体"/>
                <w:sz w:val="18"/>
                <w:szCs w:val="18"/>
              </w:rPr>
            </w:pPr>
            <w:r>
              <w:rPr>
                <w:rFonts w:hint="eastAsia" w:ascii="宋体" w:hAnsi="宋体" w:cs="宋体"/>
                <w:sz w:val="18"/>
                <w:szCs w:val="18"/>
              </w:rPr>
              <w:t>崩塌滑坡发育，多浅层滑坡和中小型崩塌，有零星植被覆盖，冲沟发育</w:t>
            </w:r>
          </w:p>
        </w:tc>
        <w:tc>
          <w:tcPr>
            <w:tcW w:w="585" w:type="dxa"/>
            <w:vAlign w:val="center"/>
          </w:tcPr>
          <w:p w14:paraId="691F83A2">
            <w:pPr>
              <w:spacing w:line="240" w:lineRule="auto"/>
              <w:jc w:val="center"/>
              <w:rPr>
                <w:rFonts w:ascii="宋体" w:hAnsi="宋体" w:cs="宋体"/>
                <w:sz w:val="18"/>
                <w:szCs w:val="18"/>
              </w:rPr>
            </w:pPr>
            <w:r>
              <w:rPr>
                <w:rFonts w:hint="eastAsia" w:ascii="宋体" w:hAnsi="宋体" w:cs="宋体"/>
                <w:sz w:val="18"/>
                <w:szCs w:val="18"/>
              </w:rPr>
              <w:t>16</w:t>
            </w:r>
          </w:p>
        </w:tc>
        <w:tc>
          <w:tcPr>
            <w:tcW w:w="2156" w:type="dxa"/>
            <w:vAlign w:val="center"/>
          </w:tcPr>
          <w:p w14:paraId="7909DF79">
            <w:pPr>
              <w:spacing w:line="240" w:lineRule="auto"/>
              <w:jc w:val="center"/>
              <w:rPr>
                <w:rFonts w:ascii="宋体" w:hAnsi="宋体" w:cs="宋体"/>
                <w:sz w:val="18"/>
                <w:szCs w:val="18"/>
              </w:rPr>
            </w:pPr>
            <w:r>
              <w:rPr>
                <w:rFonts w:hint="eastAsia" w:ascii="宋体" w:hAnsi="宋体" w:cs="宋体"/>
                <w:sz w:val="18"/>
                <w:szCs w:val="18"/>
              </w:rPr>
              <w:t>有零星崩塌、滑坡和冲沟存在</w:t>
            </w:r>
          </w:p>
        </w:tc>
        <w:tc>
          <w:tcPr>
            <w:tcW w:w="719" w:type="dxa"/>
            <w:vAlign w:val="center"/>
          </w:tcPr>
          <w:p w14:paraId="0ACF2E4E">
            <w:pPr>
              <w:spacing w:line="240" w:lineRule="auto"/>
              <w:jc w:val="center"/>
              <w:rPr>
                <w:rFonts w:ascii="宋体" w:hAnsi="宋体" w:cs="宋体"/>
                <w:sz w:val="18"/>
                <w:szCs w:val="18"/>
              </w:rPr>
            </w:pPr>
            <w:r>
              <w:rPr>
                <w:rFonts w:hint="eastAsia" w:ascii="宋体" w:hAnsi="宋体" w:cs="宋体"/>
                <w:sz w:val="18"/>
                <w:szCs w:val="18"/>
              </w:rPr>
              <w:t>12</w:t>
            </w:r>
          </w:p>
        </w:tc>
        <w:tc>
          <w:tcPr>
            <w:tcW w:w="1725" w:type="dxa"/>
            <w:vAlign w:val="center"/>
          </w:tcPr>
          <w:p w14:paraId="493017DD">
            <w:pPr>
              <w:spacing w:line="240" w:lineRule="auto"/>
              <w:jc w:val="center"/>
              <w:rPr>
                <w:rFonts w:ascii="宋体" w:hAnsi="宋体" w:cs="宋体"/>
                <w:sz w:val="18"/>
                <w:szCs w:val="18"/>
              </w:rPr>
            </w:pPr>
            <w:r>
              <w:rPr>
                <w:rFonts w:hint="eastAsia" w:ascii="宋体" w:hAnsi="宋体" w:cs="宋体"/>
                <w:sz w:val="18"/>
                <w:szCs w:val="18"/>
              </w:rPr>
              <w:t>无崩塌、滑坡、冲沟或发育轻微</w:t>
            </w:r>
          </w:p>
        </w:tc>
        <w:tc>
          <w:tcPr>
            <w:tcW w:w="626" w:type="dxa"/>
            <w:vAlign w:val="center"/>
          </w:tcPr>
          <w:p w14:paraId="55105599">
            <w:pPr>
              <w:spacing w:line="240" w:lineRule="auto"/>
              <w:jc w:val="center"/>
              <w:rPr>
                <w:rFonts w:ascii="宋体" w:hAnsi="宋体" w:cs="宋体"/>
                <w:sz w:val="18"/>
                <w:szCs w:val="18"/>
              </w:rPr>
            </w:pPr>
            <w:r>
              <w:rPr>
                <w:rFonts w:hint="eastAsia" w:ascii="宋体" w:hAnsi="宋体" w:cs="宋体"/>
                <w:sz w:val="18"/>
                <w:szCs w:val="18"/>
              </w:rPr>
              <w:t>1</w:t>
            </w:r>
          </w:p>
        </w:tc>
      </w:tr>
      <w:tr w14:paraId="1E5D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08F81765">
            <w:pPr>
              <w:spacing w:line="240" w:lineRule="auto"/>
              <w:jc w:val="center"/>
              <w:rPr>
                <w:rFonts w:ascii="宋体" w:hAnsi="宋体" w:cs="宋体"/>
                <w:sz w:val="18"/>
                <w:szCs w:val="18"/>
              </w:rPr>
            </w:pPr>
            <w:r>
              <w:rPr>
                <w:rFonts w:hint="eastAsia" w:ascii="宋体" w:hAnsi="宋体" w:cs="宋体"/>
                <w:sz w:val="18"/>
                <w:szCs w:val="18"/>
              </w:rPr>
              <w:t>2</w:t>
            </w:r>
          </w:p>
        </w:tc>
        <w:tc>
          <w:tcPr>
            <w:tcW w:w="2473" w:type="dxa"/>
            <w:vAlign w:val="center"/>
          </w:tcPr>
          <w:p w14:paraId="30A63211">
            <w:pPr>
              <w:spacing w:line="240" w:lineRule="auto"/>
              <w:jc w:val="center"/>
              <w:rPr>
                <w:rFonts w:ascii="宋体" w:hAnsi="宋体" w:cs="宋体"/>
                <w:sz w:val="18"/>
                <w:szCs w:val="18"/>
              </w:rPr>
            </w:pPr>
            <w:r>
              <w:rPr>
                <w:rFonts w:hint="eastAsia" w:ascii="宋体" w:hAnsi="宋体" w:cs="宋体"/>
                <w:sz w:val="18"/>
                <w:szCs w:val="18"/>
              </w:rPr>
              <w:t>泥沙沿程补给长度比（%）</w:t>
            </w:r>
          </w:p>
        </w:tc>
        <w:tc>
          <w:tcPr>
            <w:tcW w:w="2388" w:type="dxa"/>
            <w:vAlign w:val="center"/>
          </w:tcPr>
          <w:p w14:paraId="72DB8EBD">
            <w:pPr>
              <w:spacing w:line="240" w:lineRule="auto"/>
              <w:jc w:val="center"/>
              <w:rPr>
                <w:rFonts w:ascii="宋体" w:hAnsi="宋体" w:cs="宋体"/>
                <w:sz w:val="18"/>
                <w:szCs w:val="18"/>
              </w:rPr>
            </w:pPr>
            <w:r>
              <w:rPr>
                <w:rFonts w:hint="eastAsia" w:ascii="宋体" w:hAnsi="宋体" w:cs="宋体"/>
                <w:sz w:val="18"/>
                <w:szCs w:val="18"/>
              </w:rPr>
              <w:t>＞60</w:t>
            </w:r>
          </w:p>
        </w:tc>
        <w:tc>
          <w:tcPr>
            <w:tcW w:w="575" w:type="dxa"/>
            <w:vAlign w:val="center"/>
          </w:tcPr>
          <w:p w14:paraId="6BFFDD52">
            <w:pPr>
              <w:spacing w:line="240" w:lineRule="auto"/>
              <w:jc w:val="center"/>
              <w:rPr>
                <w:rFonts w:ascii="宋体" w:hAnsi="宋体" w:cs="宋体"/>
                <w:sz w:val="18"/>
                <w:szCs w:val="18"/>
              </w:rPr>
            </w:pPr>
            <w:r>
              <w:rPr>
                <w:rFonts w:hint="eastAsia" w:ascii="宋体" w:hAnsi="宋体" w:cs="宋体"/>
                <w:sz w:val="18"/>
                <w:szCs w:val="18"/>
              </w:rPr>
              <w:t>16</w:t>
            </w:r>
          </w:p>
        </w:tc>
        <w:tc>
          <w:tcPr>
            <w:tcW w:w="2147" w:type="dxa"/>
            <w:vAlign w:val="center"/>
          </w:tcPr>
          <w:p w14:paraId="51DA8BF3">
            <w:pPr>
              <w:spacing w:line="240" w:lineRule="auto"/>
              <w:jc w:val="center"/>
              <w:rPr>
                <w:rFonts w:ascii="宋体" w:hAnsi="宋体" w:cs="宋体"/>
                <w:sz w:val="18"/>
                <w:szCs w:val="18"/>
              </w:rPr>
            </w:pPr>
            <w:r>
              <w:rPr>
                <w:rFonts w:hint="eastAsia" w:ascii="宋体" w:hAnsi="宋体" w:cs="宋体"/>
                <w:sz w:val="18"/>
                <w:szCs w:val="18"/>
              </w:rPr>
              <w:t>60</w:t>
            </w:r>
            <w:r>
              <w:rPr>
                <w:rFonts w:hint="eastAsia"/>
              </w:rPr>
              <w:t>～</w:t>
            </w:r>
            <w:r>
              <w:rPr>
                <w:rFonts w:hint="eastAsia" w:ascii="宋体" w:hAnsi="宋体" w:cs="宋体"/>
                <w:sz w:val="18"/>
                <w:szCs w:val="18"/>
              </w:rPr>
              <w:t>30</w:t>
            </w:r>
          </w:p>
        </w:tc>
        <w:tc>
          <w:tcPr>
            <w:tcW w:w="585" w:type="dxa"/>
            <w:vAlign w:val="center"/>
          </w:tcPr>
          <w:p w14:paraId="4837B82D">
            <w:pPr>
              <w:spacing w:line="240" w:lineRule="auto"/>
              <w:jc w:val="center"/>
              <w:rPr>
                <w:rFonts w:ascii="宋体" w:hAnsi="宋体" w:cs="宋体"/>
                <w:sz w:val="18"/>
                <w:szCs w:val="18"/>
              </w:rPr>
            </w:pPr>
            <w:r>
              <w:rPr>
                <w:rFonts w:hint="eastAsia" w:ascii="宋体" w:hAnsi="宋体" w:cs="宋体"/>
                <w:sz w:val="18"/>
                <w:szCs w:val="18"/>
              </w:rPr>
              <w:t>12</w:t>
            </w:r>
          </w:p>
        </w:tc>
        <w:tc>
          <w:tcPr>
            <w:tcW w:w="2156" w:type="dxa"/>
            <w:vAlign w:val="center"/>
          </w:tcPr>
          <w:p w14:paraId="1CA17A74">
            <w:pPr>
              <w:spacing w:line="240" w:lineRule="auto"/>
              <w:jc w:val="center"/>
              <w:rPr>
                <w:rFonts w:ascii="宋体" w:hAnsi="宋体" w:cs="宋体"/>
                <w:sz w:val="18"/>
                <w:szCs w:val="18"/>
              </w:rPr>
            </w:pPr>
            <w:r>
              <w:rPr>
                <w:rFonts w:hint="eastAsia" w:ascii="宋体" w:hAnsi="宋体" w:cs="宋体"/>
                <w:sz w:val="18"/>
                <w:szCs w:val="18"/>
              </w:rPr>
              <w:t>30</w:t>
            </w:r>
            <w:r>
              <w:rPr>
                <w:rFonts w:hint="eastAsia"/>
              </w:rPr>
              <w:t>～</w:t>
            </w:r>
            <w:r>
              <w:rPr>
                <w:rFonts w:hint="eastAsia" w:ascii="宋体" w:hAnsi="宋体" w:cs="宋体"/>
                <w:sz w:val="18"/>
                <w:szCs w:val="18"/>
              </w:rPr>
              <w:t>10</w:t>
            </w:r>
          </w:p>
        </w:tc>
        <w:tc>
          <w:tcPr>
            <w:tcW w:w="719" w:type="dxa"/>
            <w:vAlign w:val="center"/>
          </w:tcPr>
          <w:p w14:paraId="79E38163">
            <w:pPr>
              <w:spacing w:line="240" w:lineRule="auto"/>
              <w:jc w:val="center"/>
              <w:rPr>
                <w:rFonts w:ascii="宋体" w:hAnsi="宋体" w:cs="宋体"/>
                <w:sz w:val="18"/>
                <w:szCs w:val="18"/>
              </w:rPr>
            </w:pPr>
            <w:r>
              <w:rPr>
                <w:rFonts w:hint="eastAsia" w:ascii="宋体" w:hAnsi="宋体" w:cs="宋体"/>
                <w:sz w:val="18"/>
                <w:szCs w:val="18"/>
              </w:rPr>
              <w:t>8</w:t>
            </w:r>
          </w:p>
        </w:tc>
        <w:tc>
          <w:tcPr>
            <w:tcW w:w="1725" w:type="dxa"/>
            <w:vAlign w:val="center"/>
          </w:tcPr>
          <w:p w14:paraId="27E7BD96">
            <w:pPr>
              <w:spacing w:line="240" w:lineRule="auto"/>
              <w:jc w:val="center"/>
              <w:rPr>
                <w:rFonts w:ascii="宋体" w:hAnsi="宋体" w:cs="宋体"/>
                <w:sz w:val="18"/>
                <w:szCs w:val="18"/>
              </w:rPr>
            </w:pPr>
            <w:r>
              <w:rPr>
                <w:rFonts w:hint="eastAsia" w:ascii="宋体" w:hAnsi="宋体" w:cs="宋体"/>
                <w:sz w:val="18"/>
                <w:szCs w:val="18"/>
              </w:rPr>
              <w:t>＜10</w:t>
            </w:r>
          </w:p>
        </w:tc>
        <w:tc>
          <w:tcPr>
            <w:tcW w:w="626" w:type="dxa"/>
            <w:vAlign w:val="center"/>
          </w:tcPr>
          <w:p w14:paraId="0060D878">
            <w:pPr>
              <w:spacing w:line="240" w:lineRule="auto"/>
              <w:jc w:val="center"/>
              <w:rPr>
                <w:rFonts w:ascii="宋体" w:hAnsi="宋体" w:cs="宋体"/>
                <w:sz w:val="18"/>
                <w:szCs w:val="18"/>
              </w:rPr>
            </w:pPr>
            <w:r>
              <w:rPr>
                <w:rFonts w:hint="eastAsia" w:ascii="宋体" w:hAnsi="宋体" w:cs="宋体"/>
                <w:sz w:val="18"/>
                <w:szCs w:val="18"/>
              </w:rPr>
              <w:t>1</w:t>
            </w:r>
          </w:p>
        </w:tc>
      </w:tr>
      <w:tr w14:paraId="33D91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791AB367">
            <w:pPr>
              <w:spacing w:line="240" w:lineRule="auto"/>
              <w:jc w:val="center"/>
              <w:rPr>
                <w:rFonts w:ascii="宋体" w:hAnsi="宋体" w:cs="宋体"/>
                <w:sz w:val="18"/>
                <w:szCs w:val="18"/>
              </w:rPr>
            </w:pPr>
            <w:r>
              <w:rPr>
                <w:rFonts w:hint="eastAsia" w:ascii="宋体" w:hAnsi="宋体" w:cs="宋体"/>
                <w:sz w:val="18"/>
                <w:szCs w:val="18"/>
              </w:rPr>
              <w:t>3</w:t>
            </w:r>
          </w:p>
        </w:tc>
        <w:tc>
          <w:tcPr>
            <w:tcW w:w="2473" w:type="dxa"/>
            <w:vAlign w:val="center"/>
          </w:tcPr>
          <w:p w14:paraId="106180E4">
            <w:pPr>
              <w:spacing w:line="240" w:lineRule="auto"/>
              <w:jc w:val="center"/>
              <w:rPr>
                <w:rFonts w:ascii="宋体" w:hAnsi="宋体" w:cs="宋体"/>
                <w:sz w:val="18"/>
                <w:szCs w:val="18"/>
              </w:rPr>
            </w:pPr>
            <w:r>
              <w:rPr>
                <w:rFonts w:hint="eastAsia" w:ascii="宋体" w:hAnsi="宋体" w:cs="宋体"/>
                <w:sz w:val="18"/>
                <w:szCs w:val="18"/>
              </w:rPr>
              <w:t>沟口泥石流堆积活动</w:t>
            </w:r>
          </w:p>
        </w:tc>
        <w:tc>
          <w:tcPr>
            <w:tcW w:w="2388" w:type="dxa"/>
            <w:vAlign w:val="center"/>
          </w:tcPr>
          <w:p w14:paraId="079A51B8">
            <w:pPr>
              <w:spacing w:line="240" w:lineRule="auto"/>
              <w:jc w:val="center"/>
              <w:rPr>
                <w:rFonts w:ascii="宋体" w:hAnsi="宋体" w:cs="宋体"/>
                <w:sz w:val="18"/>
                <w:szCs w:val="18"/>
              </w:rPr>
            </w:pPr>
            <w:r>
              <w:rPr>
                <w:rFonts w:hint="eastAsia" w:ascii="宋体" w:hAnsi="宋体" w:cs="宋体"/>
                <w:sz w:val="18"/>
                <w:szCs w:val="18"/>
              </w:rPr>
              <w:t>河形弯曲或堵塞，大河主流受挤压偏移</w:t>
            </w:r>
          </w:p>
        </w:tc>
        <w:tc>
          <w:tcPr>
            <w:tcW w:w="575" w:type="dxa"/>
            <w:vAlign w:val="center"/>
          </w:tcPr>
          <w:p w14:paraId="463DBDBC">
            <w:pPr>
              <w:spacing w:line="240" w:lineRule="auto"/>
              <w:jc w:val="center"/>
              <w:rPr>
                <w:rFonts w:ascii="宋体" w:hAnsi="宋体" w:cs="宋体"/>
                <w:sz w:val="18"/>
                <w:szCs w:val="18"/>
              </w:rPr>
            </w:pPr>
            <w:r>
              <w:rPr>
                <w:rFonts w:hint="eastAsia" w:ascii="宋体" w:hAnsi="宋体" w:cs="宋体"/>
                <w:sz w:val="18"/>
                <w:szCs w:val="18"/>
              </w:rPr>
              <w:t>14</w:t>
            </w:r>
          </w:p>
        </w:tc>
        <w:tc>
          <w:tcPr>
            <w:tcW w:w="2147" w:type="dxa"/>
            <w:vAlign w:val="center"/>
          </w:tcPr>
          <w:p w14:paraId="49A4B07C">
            <w:pPr>
              <w:spacing w:line="240" w:lineRule="auto"/>
              <w:jc w:val="center"/>
              <w:rPr>
                <w:rFonts w:ascii="宋体" w:hAnsi="宋体" w:cs="宋体"/>
                <w:sz w:val="18"/>
                <w:szCs w:val="18"/>
              </w:rPr>
            </w:pPr>
            <w:r>
              <w:rPr>
                <w:rFonts w:hint="eastAsia" w:ascii="宋体" w:hAnsi="宋体" w:cs="宋体"/>
                <w:sz w:val="18"/>
                <w:szCs w:val="18"/>
              </w:rPr>
              <w:t>河形无较大变化，仅大河主流受迫偏移</w:t>
            </w:r>
          </w:p>
        </w:tc>
        <w:tc>
          <w:tcPr>
            <w:tcW w:w="585" w:type="dxa"/>
            <w:vAlign w:val="center"/>
          </w:tcPr>
          <w:p w14:paraId="4E13610F">
            <w:pPr>
              <w:spacing w:line="240" w:lineRule="auto"/>
              <w:jc w:val="center"/>
              <w:rPr>
                <w:rFonts w:ascii="宋体" w:hAnsi="宋体" w:cs="宋体"/>
                <w:sz w:val="18"/>
                <w:szCs w:val="18"/>
              </w:rPr>
            </w:pPr>
            <w:r>
              <w:rPr>
                <w:rFonts w:hint="eastAsia" w:ascii="宋体" w:hAnsi="宋体" w:cs="宋体"/>
                <w:sz w:val="18"/>
                <w:szCs w:val="18"/>
              </w:rPr>
              <w:t>11</w:t>
            </w:r>
          </w:p>
        </w:tc>
        <w:tc>
          <w:tcPr>
            <w:tcW w:w="2156" w:type="dxa"/>
            <w:vAlign w:val="center"/>
          </w:tcPr>
          <w:p w14:paraId="587F5863">
            <w:pPr>
              <w:spacing w:line="240" w:lineRule="auto"/>
              <w:jc w:val="center"/>
              <w:rPr>
                <w:rFonts w:ascii="宋体" w:hAnsi="宋体" w:cs="宋体"/>
                <w:sz w:val="18"/>
                <w:szCs w:val="18"/>
              </w:rPr>
            </w:pPr>
            <w:r>
              <w:rPr>
                <w:rFonts w:hint="eastAsia" w:ascii="宋体" w:hAnsi="宋体" w:cs="宋体"/>
                <w:sz w:val="18"/>
                <w:szCs w:val="18"/>
              </w:rPr>
              <w:t>河形无变化，大河主流在高水偏，低水不偏</w:t>
            </w:r>
          </w:p>
        </w:tc>
        <w:tc>
          <w:tcPr>
            <w:tcW w:w="719" w:type="dxa"/>
            <w:vAlign w:val="center"/>
          </w:tcPr>
          <w:p w14:paraId="286EA2EF">
            <w:pPr>
              <w:spacing w:line="240" w:lineRule="auto"/>
              <w:jc w:val="center"/>
              <w:rPr>
                <w:rFonts w:ascii="宋体" w:hAnsi="宋体" w:cs="宋体"/>
                <w:sz w:val="18"/>
                <w:szCs w:val="18"/>
              </w:rPr>
            </w:pPr>
            <w:r>
              <w:rPr>
                <w:rFonts w:hint="eastAsia" w:ascii="宋体" w:hAnsi="宋体" w:cs="宋体"/>
                <w:sz w:val="18"/>
                <w:szCs w:val="18"/>
              </w:rPr>
              <w:t>7</w:t>
            </w:r>
          </w:p>
        </w:tc>
        <w:tc>
          <w:tcPr>
            <w:tcW w:w="1725" w:type="dxa"/>
            <w:vAlign w:val="center"/>
          </w:tcPr>
          <w:p w14:paraId="376D83EA">
            <w:pPr>
              <w:spacing w:line="240" w:lineRule="auto"/>
              <w:jc w:val="center"/>
              <w:rPr>
                <w:rFonts w:ascii="宋体" w:hAnsi="宋体" w:cs="宋体"/>
                <w:sz w:val="18"/>
                <w:szCs w:val="18"/>
              </w:rPr>
            </w:pPr>
            <w:r>
              <w:rPr>
                <w:rFonts w:hint="eastAsia" w:ascii="宋体" w:hAnsi="宋体" w:cs="宋体"/>
                <w:sz w:val="18"/>
                <w:szCs w:val="18"/>
              </w:rPr>
              <w:t>无河形变化， 主流不偏</w:t>
            </w:r>
          </w:p>
        </w:tc>
        <w:tc>
          <w:tcPr>
            <w:tcW w:w="626" w:type="dxa"/>
            <w:vAlign w:val="center"/>
          </w:tcPr>
          <w:p w14:paraId="7F6A80B8">
            <w:pPr>
              <w:spacing w:line="240" w:lineRule="auto"/>
              <w:jc w:val="center"/>
              <w:rPr>
                <w:rFonts w:ascii="宋体" w:hAnsi="宋体" w:cs="宋体"/>
                <w:sz w:val="18"/>
                <w:szCs w:val="18"/>
              </w:rPr>
            </w:pPr>
            <w:r>
              <w:rPr>
                <w:rFonts w:hint="eastAsia" w:ascii="宋体" w:hAnsi="宋体" w:cs="宋体"/>
                <w:sz w:val="18"/>
                <w:szCs w:val="18"/>
              </w:rPr>
              <w:t>1</w:t>
            </w:r>
          </w:p>
        </w:tc>
      </w:tr>
      <w:tr w14:paraId="52513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2A1880F8">
            <w:pPr>
              <w:spacing w:line="240" w:lineRule="auto"/>
              <w:jc w:val="center"/>
              <w:rPr>
                <w:rFonts w:ascii="宋体" w:hAnsi="宋体" w:cs="宋体"/>
                <w:sz w:val="18"/>
                <w:szCs w:val="18"/>
              </w:rPr>
            </w:pPr>
            <w:r>
              <w:rPr>
                <w:rFonts w:hint="eastAsia" w:ascii="宋体" w:hAnsi="宋体" w:cs="宋体"/>
                <w:sz w:val="18"/>
                <w:szCs w:val="18"/>
              </w:rPr>
              <w:t>4</w:t>
            </w:r>
          </w:p>
        </w:tc>
        <w:tc>
          <w:tcPr>
            <w:tcW w:w="2473" w:type="dxa"/>
            <w:vAlign w:val="center"/>
          </w:tcPr>
          <w:p w14:paraId="091879AC">
            <w:pPr>
              <w:spacing w:line="240" w:lineRule="auto"/>
              <w:jc w:val="center"/>
              <w:rPr>
                <w:rFonts w:ascii="宋体" w:hAnsi="宋体" w:cs="宋体"/>
                <w:sz w:val="18"/>
                <w:szCs w:val="18"/>
              </w:rPr>
            </w:pPr>
            <w:r>
              <w:rPr>
                <w:rFonts w:hint="eastAsia" w:ascii="宋体" w:hAnsi="宋体" w:cs="宋体"/>
                <w:sz w:val="18"/>
                <w:szCs w:val="18"/>
              </w:rPr>
              <w:t>河沟纵坡降（度，‰）</w:t>
            </w:r>
          </w:p>
        </w:tc>
        <w:tc>
          <w:tcPr>
            <w:tcW w:w="2388" w:type="dxa"/>
            <w:vAlign w:val="center"/>
          </w:tcPr>
          <w:p w14:paraId="0B006B38">
            <w:pPr>
              <w:spacing w:line="240" w:lineRule="auto"/>
              <w:jc w:val="center"/>
              <w:rPr>
                <w:rFonts w:ascii="宋体" w:hAnsi="宋体" w:cs="宋体"/>
                <w:sz w:val="18"/>
                <w:szCs w:val="18"/>
              </w:rPr>
            </w:pPr>
            <w:r>
              <w:rPr>
                <w:rFonts w:hint="eastAsia" w:ascii="宋体" w:hAnsi="宋体" w:cs="宋体"/>
                <w:sz w:val="18"/>
                <w:szCs w:val="18"/>
              </w:rPr>
              <w:t>＞12°（213）</w:t>
            </w:r>
          </w:p>
        </w:tc>
        <w:tc>
          <w:tcPr>
            <w:tcW w:w="575" w:type="dxa"/>
            <w:vAlign w:val="center"/>
          </w:tcPr>
          <w:p w14:paraId="2A1DEB82">
            <w:pPr>
              <w:spacing w:line="240" w:lineRule="auto"/>
              <w:jc w:val="center"/>
              <w:rPr>
                <w:rFonts w:ascii="宋体" w:hAnsi="宋体" w:cs="宋体"/>
                <w:sz w:val="18"/>
                <w:szCs w:val="18"/>
              </w:rPr>
            </w:pPr>
            <w:r>
              <w:rPr>
                <w:rFonts w:hint="eastAsia" w:ascii="宋体" w:hAnsi="宋体" w:cs="宋体"/>
                <w:sz w:val="18"/>
                <w:szCs w:val="18"/>
              </w:rPr>
              <w:t>12</w:t>
            </w:r>
          </w:p>
        </w:tc>
        <w:tc>
          <w:tcPr>
            <w:tcW w:w="2147" w:type="dxa"/>
            <w:vAlign w:val="center"/>
          </w:tcPr>
          <w:p w14:paraId="58E09B7D">
            <w:pPr>
              <w:spacing w:line="240" w:lineRule="auto"/>
              <w:rPr>
                <w:rFonts w:ascii="宋体" w:hAnsi="宋体" w:cs="宋体"/>
                <w:sz w:val="18"/>
                <w:szCs w:val="18"/>
              </w:rPr>
            </w:pPr>
            <w:r>
              <w:rPr>
                <w:rFonts w:hint="eastAsia" w:ascii="宋体" w:hAnsi="宋体" w:cs="宋体"/>
                <w:sz w:val="18"/>
                <w:szCs w:val="18"/>
              </w:rPr>
              <w:t>12°</w:t>
            </w:r>
            <w:r>
              <w:rPr>
                <w:rFonts w:hint="eastAsia"/>
              </w:rPr>
              <w:t>～</w:t>
            </w:r>
            <w:r>
              <w:rPr>
                <w:rFonts w:hint="eastAsia" w:ascii="宋体" w:hAnsi="宋体" w:cs="宋体"/>
                <w:sz w:val="18"/>
                <w:szCs w:val="18"/>
              </w:rPr>
              <w:t>6°（213</w:t>
            </w:r>
            <w:r>
              <w:rPr>
                <w:rFonts w:hint="eastAsia"/>
              </w:rPr>
              <w:t>～</w:t>
            </w:r>
            <w:r>
              <w:rPr>
                <w:rFonts w:hint="eastAsia" w:ascii="宋体" w:hAnsi="宋体" w:cs="宋体"/>
                <w:sz w:val="18"/>
                <w:szCs w:val="18"/>
              </w:rPr>
              <w:t>105）</w:t>
            </w:r>
          </w:p>
        </w:tc>
        <w:tc>
          <w:tcPr>
            <w:tcW w:w="585" w:type="dxa"/>
            <w:vAlign w:val="center"/>
          </w:tcPr>
          <w:p w14:paraId="3BB9EC44">
            <w:pPr>
              <w:spacing w:line="240" w:lineRule="auto"/>
              <w:jc w:val="center"/>
              <w:rPr>
                <w:rFonts w:ascii="宋体" w:hAnsi="宋体" w:cs="宋体"/>
                <w:sz w:val="18"/>
                <w:szCs w:val="18"/>
              </w:rPr>
            </w:pPr>
            <w:r>
              <w:rPr>
                <w:rFonts w:hint="eastAsia" w:ascii="宋体" w:hAnsi="宋体" w:cs="宋体"/>
                <w:sz w:val="18"/>
                <w:szCs w:val="18"/>
              </w:rPr>
              <w:t>9</w:t>
            </w:r>
          </w:p>
        </w:tc>
        <w:tc>
          <w:tcPr>
            <w:tcW w:w="2156" w:type="dxa"/>
            <w:vAlign w:val="center"/>
          </w:tcPr>
          <w:p w14:paraId="66A9CF15">
            <w:pPr>
              <w:spacing w:line="240" w:lineRule="auto"/>
              <w:jc w:val="center"/>
              <w:rPr>
                <w:rFonts w:ascii="宋体" w:hAnsi="宋体" w:cs="宋体"/>
                <w:sz w:val="18"/>
                <w:szCs w:val="18"/>
              </w:rPr>
            </w:pPr>
            <w:r>
              <w:rPr>
                <w:rFonts w:hint="eastAsia" w:ascii="宋体" w:hAnsi="宋体" w:cs="宋体"/>
                <w:sz w:val="18"/>
                <w:szCs w:val="18"/>
              </w:rPr>
              <w:t>6°～3°（105</w:t>
            </w:r>
            <w:r>
              <w:rPr>
                <w:rFonts w:hint="eastAsia"/>
              </w:rPr>
              <w:t>～</w:t>
            </w:r>
            <w:r>
              <w:rPr>
                <w:rFonts w:hint="eastAsia" w:ascii="宋体" w:hAnsi="宋体" w:cs="宋体"/>
                <w:sz w:val="18"/>
                <w:szCs w:val="18"/>
              </w:rPr>
              <w:t>52）</w:t>
            </w:r>
          </w:p>
        </w:tc>
        <w:tc>
          <w:tcPr>
            <w:tcW w:w="719" w:type="dxa"/>
            <w:vAlign w:val="center"/>
          </w:tcPr>
          <w:p w14:paraId="1B7A456D">
            <w:pPr>
              <w:spacing w:line="240" w:lineRule="auto"/>
              <w:jc w:val="center"/>
              <w:rPr>
                <w:rFonts w:ascii="宋体" w:hAnsi="宋体" w:cs="宋体"/>
                <w:sz w:val="18"/>
                <w:szCs w:val="18"/>
              </w:rPr>
            </w:pPr>
            <w:r>
              <w:rPr>
                <w:rFonts w:hint="eastAsia" w:ascii="宋体" w:hAnsi="宋体" w:cs="宋体"/>
                <w:sz w:val="18"/>
                <w:szCs w:val="18"/>
              </w:rPr>
              <w:t>6</w:t>
            </w:r>
          </w:p>
        </w:tc>
        <w:tc>
          <w:tcPr>
            <w:tcW w:w="1725" w:type="dxa"/>
            <w:vAlign w:val="center"/>
          </w:tcPr>
          <w:p w14:paraId="3CC6368C">
            <w:pPr>
              <w:spacing w:line="240" w:lineRule="auto"/>
              <w:jc w:val="center"/>
              <w:rPr>
                <w:rFonts w:ascii="宋体" w:hAnsi="宋体" w:cs="宋体"/>
                <w:sz w:val="18"/>
                <w:szCs w:val="18"/>
              </w:rPr>
            </w:pPr>
            <w:r>
              <w:rPr>
                <w:rFonts w:hint="eastAsia" w:ascii="宋体" w:hAnsi="宋体" w:cs="宋体"/>
                <w:sz w:val="18"/>
                <w:szCs w:val="18"/>
              </w:rPr>
              <w:t>＜3°（52）</w:t>
            </w:r>
          </w:p>
        </w:tc>
        <w:tc>
          <w:tcPr>
            <w:tcW w:w="626" w:type="dxa"/>
            <w:vAlign w:val="center"/>
          </w:tcPr>
          <w:p w14:paraId="1B276B6F">
            <w:pPr>
              <w:spacing w:line="240" w:lineRule="auto"/>
              <w:jc w:val="center"/>
              <w:rPr>
                <w:rFonts w:ascii="宋体" w:hAnsi="宋体" w:cs="宋体"/>
                <w:sz w:val="18"/>
                <w:szCs w:val="18"/>
              </w:rPr>
            </w:pPr>
            <w:r>
              <w:rPr>
                <w:rFonts w:hint="eastAsia" w:ascii="宋体" w:hAnsi="宋体" w:cs="宋体"/>
                <w:sz w:val="18"/>
                <w:szCs w:val="18"/>
              </w:rPr>
              <w:t>1</w:t>
            </w:r>
          </w:p>
        </w:tc>
      </w:tr>
      <w:tr w14:paraId="766F8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115AA307">
            <w:pPr>
              <w:spacing w:line="240" w:lineRule="auto"/>
              <w:jc w:val="center"/>
              <w:rPr>
                <w:rFonts w:ascii="宋体" w:hAnsi="宋体" w:cs="宋体"/>
                <w:sz w:val="18"/>
                <w:szCs w:val="18"/>
              </w:rPr>
            </w:pPr>
            <w:r>
              <w:rPr>
                <w:rFonts w:hint="eastAsia" w:ascii="宋体" w:hAnsi="宋体" w:cs="宋体"/>
                <w:sz w:val="18"/>
                <w:szCs w:val="18"/>
              </w:rPr>
              <w:t>5</w:t>
            </w:r>
          </w:p>
        </w:tc>
        <w:tc>
          <w:tcPr>
            <w:tcW w:w="2473" w:type="dxa"/>
            <w:vAlign w:val="center"/>
          </w:tcPr>
          <w:p w14:paraId="5D2CED6D">
            <w:pPr>
              <w:spacing w:line="240" w:lineRule="auto"/>
              <w:jc w:val="center"/>
              <w:rPr>
                <w:rFonts w:ascii="宋体" w:hAnsi="宋体" w:cs="宋体"/>
                <w:sz w:val="18"/>
                <w:szCs w:val="18"/>
              </w:rPr>
            </w:pPr>
            <w:r>
              <w:rPr>
                <w:rFonts w:hint="eastAsia" w:ascii="宋体" w:hAnsi="宋体" w:cs="宋体"/>
                <w:sz w:val="18"/>
                <w:szCs w:val="18"/>
              </w:rPr>
              <w:t>区域构造影响程度</w:t>
            </w:r>
          </w:p>
        </w:tc>
        <w:tc>
          <w:tcPr>
            <w:tcW w:w="2388" w:type="dxa"/>
            <w:vAlign w:val="center"/>
          </w:tcPr>
          <w:p w14:paraId="1F9D5D0B">
            <w:pPr>
              <w:spacing w:line="240" w:lineRule="auto"/>
              <w:jc w:val="center"/>
              <w:rPr>
                <w:rFonts w:ascii="宋体" w:hAnsi="宋体" w:cs="宋体"/>
                <w:sz w:val="18"/>
                <w:szCs w:val="18"/>
              </w:rPr>
            </w:pPr>
            <w:r>
              <w:rPr>
                <w:rFonts w:hint="eastAsia" w:ascii="宋体" w:hAnsi="宋体" w:cs="宋体"/>
                <w:sz w:val="18"/>
                <w:szCs w:val="18"/>
              </w:rPr>
              <w:t>强抬升区，六级以上地震区</w:t>
            </w:r>
          </w:p>
        </w:tc>
        <w:tc>
          <w:tcPr>
            <w:tcW w:w="575" w:type="dxa"/>
            <w:vAlign w:val="center"/>
          </w:tcPr>
          <w:p w14:paraId="73073ECB">
            <w:pPr>
              <w:spacing w:line="240" w:lineRule="auto"/>
              <w:jc w:val="center"/>
              <w:rPr>
                <w:rFonts w:ascii="宋体" w:hAnsi="宋体" w:cs="宋体"/>
                <w:sz w:val="18"/>
                <w:szCs w:val="18"/>
              </w:rPr>
            </w:pPr>
            <w:r>
              <w:rPr>
                <w:rFonts w:hint="eastAsia" w:ascii="宋体" w:hAnsi="宋体" w:cs="宋体"/>
                <w:sz w:val="18"/>
                <w:szCs w:val="18"/>
              </w:rPr>
              <w:t>9</w:t>
            </w:r>
          </w:p>
        </w:tc>
        <w:tc>
          <w:tcPr>
            <w:tcW w:w="2147" w:type="dxa"/>
            <w:vAlign w:val="center"/>
          </w:tcPr>
          <w:p w14:paraId="7800DCBE">
            <w:pPr>
              <w:spacing w:line="240" w:lineRule="auto"/>
              <w:rPr>
                <w:rFonts w:ascii="宋体" w:hAnsi="宋体" w:cs="宋体"/>
                <w:sz w:val="18"/>
                <w:szCs w:val="18"/>
              </w:rPr>
            </w:pPr>
            <w:r>
              <w:rPr>
                <w:rFonts w:hint="eastAsia" w:ascii="宋体" w:hAnsi="宋体" w:cs="宋体"/>
                <w:sz w:val="18"/>
                <w:szCs w:val="18"/>
              </w:rPr>
              <w:t>抬升区，4－6级地震区，有中小支断层或无断层</w:t>
            </w:r>
          </w:p>
        </w:tc>
        <w:tc>
          <w:tcPr>
            <w:tcW w:w="585" w:type="dxa"/>
            <w:vAlign w:val="center"/>
          </w:tcPr>
          <w:p w14:paraId="54214D8C">
            <w:pPr>
              <w:spacing w:line="240" w:lineRule="auto"/>
              <w:jc w:val="center"/>
              <w:rPr>
                <w:rFonts w:ascii="宋体" w:hAnsi="宋体" w:cs="宋体"/>
                <w:sz w:val="18"/>
                <w:szCs w:val="18"/>
              </w:rPr>
            </w:pPr>
            <w:r>
              <w:rPr>
                <w:rFonts w:hint="eastAsia" w:ascii="宋体" w:hAnsi="宋体" w:cs="宋体"/>
                <w:sz w:val="18"/>
                <w:szCs w:val="18"/>
              </w:rPr>
              <w:t>7</w:t>
            </w:r>
          </w:p>
        </w:tc>
        <w:tc>
          <w:tcPr>
            <w:tcW w:w="2156" w:type="dxa"/>
            <w:vAlign w:val="center"/>
          </w:tcPr>
          <w:p w14:paraId="1CA8DCB0">
            <w:pPr>
              <w:spacing w:line="240" w:lineRule="auto"/>
              <w:jc w:val="center"/>
              <w:rPr>
                <w:rFonts w:ascii="宋体" w:hAnsi="宋体" w:cs="宋体"/>
                <w:sz w:val="18"/>
                <w:szCs w:val="18"/>
              </w:rPr>
            </w:pPr>
            <w:r>
              <w:rPr>
                <w:rFonts w:hint="eastAsia" w:ascii="宋体" w:hAnsi="宋体" w:cs="宋体"/>
                <w:sz w:val="18"/>
                <w:szCs w:val="18"/>
              </w:rPr>
              <w:t>相对稳定区，4级以下地震区，有小断层</w:t>
            </w:r>
          </w:p>
        </w:tc>
        <w:tc>
          <w:tcPr>
            <w:tcW w:w="719" w:type="dxa"/>
            <w:vAlign w:val="center"/>
          </w:tcPr>
          <w:p w14:paraId="152703D6">
            <w:pPr>
              <w:spacing w:line="240" w:lineRule="auto"/>
              <w:jc w:val="center"/>
              <w:rPr>
                <w:rFonts w:ascii="宋体" w:hAnsi="宋体" w:cs="宋体"/>
                <w:sz w:val="18"/>
                <w:szCs w:val="18"/>
              </w:rPr>
            </w:pPr>
            <w:r>
              <w:rPr>
                <w:rFonts w:hint="eastAsia" w:ascii="宋体" w:hAnsi="宋体" w:cs="宋体"/>
                <w:sz w:val="18"/>
                <w:szCs w:val="18"/>
              </w:rPr>
              <w:t>5</w:t>
            </w:r>
          </w:p>
        </w:tc>
        <w:tc>
          <w:tcPr>
            <w:tcW w:w="1725" w:type="dxa"/>
            <w:vAlign w:val="center"/>
          </w:tcPr>
          <w:p w14:paraId="14CAEF8D">
            <w:pPr>
              <w:spacing w:line="240" w:lineRule="auto"/>
              <w:jc w:val="center"/>
              <w:rPr>
                <w:rFonts w:ascii="宋体" w:hAnsi="宋体" w:cs="宋体"/>
                <w:sz w:val="18"/>
                <w:szCs w:val="18"/>
              </w:rPr>
            </w:pPr>
            <w:r>
              <w:rPr>
                <w:rFonts w:hint="eastAsia" w:ascii="宋体" w:hAnsi="宋体" w:cs="宋体"/>
                <w:sz w:val="18"/>
                <w:szCs w:val="18"/>
              </w:rPr>
              <w:t>沉降区，构造影响小或无影响</w:t>
            </w:r>
          </w:p>
        </w:tc>
        <w:tc>
          <w:tcPr>
            <w:tcW w:w="626" w:type="dxa"/>
            <w:vAlign w:val="center"/>
          </w:tcPr>
          <w:p w14:paraId="4854C0A6">
            <w:pPr>
              <w:spacing w:line="240" w:lineRule="auto"/>
              <w:jc w:val="center"/>
              <w:rPr>
                <w:rFonts w:ascii="宋体" w:hAnsi="宋体" w:cs="宋体"/>
                <w:sz w:val="18"/>
                <w:szCs w:val="18"/>
              </w:rPr>
            </w:pPr>
            <w:r>
              <w:rPr>
                <w:rFonts w:hint="eastAsia" w:ascii="宋体" w:hAnsi="宋体" w:cs="宋体"/>
                <w:sz w:val="18"/>
                <w:szCs w:val="18"/>
              </w:rPr>
              <w:t>1</w:t>
            </w:r>
          </w:p>
        </w:tc>
      </w:tr>
      <w:tr w14:paraId="6F907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2F401D02">
            <w:pPr>
              <w:spacing w:line="240" w:lineRule="auto"/>
              <w:jc w:val="center"/>
              <w:rPr>
                <w:rFonts w:ascii="宋体" w:hAnsi="宋体" w:cs="宋体"/>
                <w:sz w:val="18"/>
                <w:szCs w:val="18"/>
              </w:rPr>
            </w:pPr>
            <w:r>
              <w:rPr>
                <w:rFonts w:hint="eastAsia" w:ascii="宋体" w:hAnsi="宋体" w:cs="宋体"/>
                <w:sz w:val="18"/>
                <w:szCs w:val="18"/>
              </w:rPr>
              <w:t>6</w:t>
            </w:r>
          </w:p>
        </w:tc>
        <w:tc>
          <w:tcPr>
            <w:tcW w:w="2473" w:type="dxa"/>
            <w:vAlign w:val="center"/>
          </w:tcPr>
          <w:p w14:paraId="49A5ADC4">
            <w:pPr>
              <w:spacing w:line="240" w:lineRule="auto"/>
              <w:jc w:val="center"/>
              <w:rPr>
                <w:rFonts w:ascii="宋体" w:hAnsi="宋体" w:cs="宋体"/>
                <w:sz w:val="18"/>
                <w:szCs w:val="18"/>
              </w:rPr>
            </w:pPr>
            <w:r>
              <w:rPr>
                <w:rFonts w:hint="eastAsia" w:ascii="宋体" w:hAnsi="宋体" w:cs="宋体"/>
                <w:sz w:val="18"/>
                <w:szCs w:val="18"/>
              </w:rPr>
              <w:t>流域植被覆盖率（%）</w:t>
            </w:r>
          </w:p>
        </w:tc>
        <w:tc>
          <w:tcPr>
            <w:tcW w:w="2388" w:type="dxa"/>
            <w:vAlign w:val="center"/>
          </w:tcPr>
          <w:p w14:paraId="74082273">
            <w:pPr>
              <w:spacing w:line="240" w:lineRule="auto"/>
              <w:jc w:val="center"/>
              <w:rPr>
                <w:rFonts w:ascii="宋体" w:hAnsi="宋体" w:cs="宋体"/>
                <w:sz w:val="18"/>
                <w:szCs w:val="18"/>
              </w:rPr>
            </w:pPr>
            <w:r>
              <w:rPr>
                <w:rFonts w:hint="eastAsia" w:ascii="宋体" w:hAnsi="宋体" w:cs="宋体"/>
                <w:sz w:val="18"/>
                <w:szCs w:val="18"/>
              </w:rPr>
              <w:t>＜10</w:t>
            </w:r>
          </w:p>
        </w:tc>
        <w:tc>
          <w:tcPr>
            <w:tcW w:w="575" w:type="dxa"/>
            <w:vAlign w:val="center"/>
          </w:tcPr>
          <w:p w14:paraId="771E8558">
            <w:pPr>
              <w:spacing w:line="240" w:lineRule="auto"/>
              <w:jc w:val="center"/>
              <w:rPr>
                <w:rFonts w:ascii="宋体" w:hAnsi="宋体" w:cs="宋体"/>
                <w:sz w:val="18"/>
                <w:szCs w:val="18"/>
              </w:rPr>
            </w:pPr>
            <w:r>
              <w:rPr>
                <w:rFonts w:hint="eastAsia" w:ascii="宋体" w:hAnsi="宋体" w:cs="宋体"/>
                <w:sz w:val="18"/>
                <w:szCs w:val="18"/>
              </w:rPr>
              <w:t>9</w:t>
            </w:r>
          </w:p>
        </w:tc>
        <w:tc>
          <w:tcPr>
            <w:tcW w:w="2147" w:type="dxa"/>
            <w:vAlign w:val="center"/>
          </w:tcPr>
          <w:p w14:paraId="68EE6CA3">
            <w:pPr>
              <w:spacing w:line="240" w:lineRule="auto"/>
              <w:jc w:val="center"/>
              <w:rPr>
                <w:rFonts w:ascii="宋体" w:hAnsi="宋体" w:cs="宋体"/>
                <w:sz w:val="18"/>
                <w:szCs w:val="18"/>
              </w:rPr>
            </w:pPr>
            <w:r>
              <w:rPr>
                <w:rFonts w:hint="eastAsia" w:ascii="宋体" w:hAnsi="宋体" w:cs="宋体"/>
                <w:sz w:val="18"/>
                <w:szCs w:val="18"/>
              </w:rPr>
              <w:t>10</w:t>
            </w:r>
            <w:r>
              <w:rPr>
                <w:rFonts w:hint="eastAsia"/>
              </w:rPr>
              <w:t>～</w:t>
            </w:r>
            <w:r>
              <w:rPr>
                <w:rFonts w:hint="eastAsia" w:ascii="宋体" w:hAnsi="宋体" w:cs="宋体"/>
                <w:sz w:val="18"/>
                <w:szCs w:val="18"/>
              </w:rPr>
              <w:t>30</w:t>
            </w:r>
          </w:p>
        </w:tc>
        <w:tc>
          <w:tcPr>
            <w:tcW w:w="585" w:type="dxa"/>
            <w:vAlign w:val="center"/>
          </w:tcPr>
          <w:p w14:paraId="1DCAAA2B">
            <w:pPr>
              <w:spacing w:line="240" w:lineRule="auto"/>
              <w:jc w:val="center"/>
              <w:rPr>
                <w:rFonts w:ascii="宋体" w:hAnsi="宋体" w:cs="宋体"/>
                <w:sz w:val="18"/>
                <w:szCs w:val="18"/>
              </w:rPr>
            </w:pPr>
            <w:r>
              <w:rPr>
                <w:rFonts w:hint="eastAsia" w:ascii="宋体" w:hAnsi="宋体" w:cs="宋体"/>
                <w:sz w:val="18"/>
                <w:szCs w:val="18"/>
              </w:rPr>
              <w:t>7</w:t>
            </w:r>
          </w:p>
        </w:tc>
        <w:tc>
          <w:tcPr>
            <w:tcW w:w="2156" w:type="dxa"/>
            <w:vAlign w:val="center"/>
          </w:tcPr>
          <w:p w14:paraId="02EEFE41">
            <w:pPr>
              <w:spacing w:line="240" w:lineRule="auto"/>
              <w:jc w:val="center"/>
              <w:rPr>
                <w:rFonts w:ascii="宋体" w:hAnsi="宋体" w:cs="宋体"/>
                <w:sz w:val="18"/>
                <w:szCs w:val="18"/>
              </w:rPr>
            </w:pPr>
            <w:r>
              <w:rPr>
                <w:rFonts w:hint="eastAsia" w:ascii="宋体" w:hAnsi="宋体" w:cs="宋体"/>
                <w:sz w:val="18"/>
                <w:szCs w:val="18"/>
              </w:rPr>
              <w:t>30</w:t>
            </w:r>
            <w:r>
              <w:rPr>
                <w:rFonts w:hint="eastAsia"/>
              </w:rPr>
              <w:t>～</w:t>
            </w:r>
            <w:r>
              <w:rPr>
                <w:rFonts w:hint="eastAsia" w:ascii="宋体" w:hAnsi="宋体" w:cs="宋体"/>
                <w:sz w:val="18"/>
                <w:szCs w:val="18"/>
              </w:rPr>
              <w:t>60</w:t>
            </w:r>
          </w:p>
        </w:tc>
        <w:tc>
          <w:tcPr>
            <w:tcW w:w="719" w:type="dxa"/>
            <w:vAlign w:val="center"/>
          </w:tcPr>
          <w:p w14:paraId="259CB3CB">
            <w:pPr>
              <w:spacing w:line="240" w:lineRule="auto"/>
              <w:jc w:val="center"/>
              <w:rPr>
                <w:rFonts w:ascii="宋体" w:hAnsi="宋体" w:cs="宋体"/>
                <w:sz w:val="18"/>
                <w:szCs w:val="18"/>
              </w:rPr>
            </w:pPr>
            <w:r>
              <w:rPr>
                <w:rFonts w:hint="eastAsia" w:ascii="宋体" w:hAnsi="宋体" w:cs="宋体"/>
                <w:sz w:val="18"/>
                <w:szCs w:val="18"/>
              </w:rPr>
              <w:t>5</w:t>
            </w:r>
          </w:p>
        </w:tc>
        <w:tc>
          <w:tcPr>
            <w:tcW w:w="1725" w:type="dxa"/>
            <w:vAlign w:val="center"/>
          </w:tcPr>
          <w:p w14:paraId="07AA44B9">
            <w:pPr>
              <w:spacing w:line="240" w:lineRule="auto"/>
              <w:jc w:val="center"/>
              <w:rPr>
                <w:rFonts w:ascii="宋体" w:hAnsi="宋体" w:cs="宋体"/>
                <w:sz w:val="18"/>
                <w:szCs w:val="18"/>
              </w:rPr>
            </w:pPr>
            <w:r>
              <w:rPr>
                <w:rFonts w:hint="eastAsia" w:ascii="宋体" w:hAnsi="宋体" w:cs="宋体"/>
                <w:sz w:val="18"/>
                <w:szCs w:val="18"/>
              </w:rPr>
              <w:t>＞60</w:t>
            </w:r>
          </w:p>
        </w:tc>
        <w:tc>
          <w:tcPr>
            <w:tcW w:w="626" w:type="dxa"/>
            <w:vAlign w:val="center"/>
          </w:tcPr>
          <w:p w14:paraId="2A1B2CBF">
            <w:pPr>
              <w:spacing w:line="240" w:lineRule="auto"/>
              <w:jc w:val="center"/>
              <w:rPr>
                <w:rFonts w:ascii="宋体" w:hAnsi="宋体" w:cs="宋体"/>
                <w:sz w:val="18"/>
                <w:szCs w:val="18"/>
              </w:rPr>
            </w:pPr>
            <w:r>
              <w:rPr>
                <w:rFonts w:hint="eastAsia" w:ascii="宋体" w:hAnsi="宋体" w:cs="宋体"/>
                <w:sz w:val="18"/>
                <w:szCs w:val="18"/>
              </w:rPr>
              <w:t>1</w:t>
            </w:r>
          </w:p>
        </w:tc>
      </w:tr>
      <w:tr w14:paraId="7FB4E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141C01AD">
            <w:pPr>
              <w:spacing w:line="240" w:lineRule="auto"/>
              <w:jc w:val="center"/>
              <w:rPr>
                <w:rFonts w:ascii="宋体" w:hAnsi="宋体" w:cs="宋体"/>
                <w:sz w:val="18"/>
                <w:szCs w:val="18"/>
              </w:rPr>
            </w:pPr>
            <w:r>
              <w:rPr>
                <w:rFonts w:hint="eastAsia" w:ascii="宋体" w:hAnsi="宋体" w:cs="宋体"/>
                <w:sz w:val="18"/>
                <w:szCs w:val="18"/>
              </w:rPr>
              <w:t>7</w:t>
            </w:r>
          </w:p>
        </w:tc>
        <w:tc>
          <w:tcPr>
            <w:tcW w:w="2473" w:type="dxa"/>
            <w:vAlign w:val="center"/>
          </w:tcPr>
          <w:p w14:paraId="117907D1">
            <w:pPr>
              <w:spacing w:line="240" w:lineRule="auto"/>
              <w:jc w:val="center"/>
              <w:rPr>
                <w:rFonts w:ascii="宋体" w:hAnsi="宋体" w:cs="宋体"/>
                <w:sz w:val="18"/>
                <w:szCs w:val="18"/>
              </w:rPr>
            </w:pPr>
            <w:r>
              <w:rPr>
                <w:rFonts w:hint="eastAsia" w:ascii="宋体" w:hAnsi="宋体" w:cs="宋体"/>
                <w:sz w:val="18"/>
                <w:szCs w:val="18"/>
              </w:rPr>
              <w:t>河沟近期一次变幅（m）</w:t>
            </w:r>
          </w:p>
        </w:tc>
        <w:tc>
          <w:tcPr>
            <w:tcW w:w="2388" w:type="dxa"/>
            <w:vAlign w:val="center"/>
          </w:tcPr>
          <w:p w14:paraId="6B2D98B7">
            <w:pPr>
              <w:spacing w:line="240" w:lineRule="auto"/>
              <w:jc w:val="center"/>
              <w:rPr>
                <w:rFonts w:ascii="宋体" w:hAnsi="宋体" w:cs="宋体"/>
                <w:sz w:val="18"/>
                <w:szCs w:val="18"/>
              </w:rPr>
            </w:pPr>
            <w:r>
              <w:rPr>
                <w:rFonts w:hint="eastAsia" w:ascii="宋体" w:hAnsi="宋体" w:cs="宋体"/>
                <w:sz w:val="18"/>
                <w:szCs w:val="18"/>
              </w:rPr>
              <w:t>＞2</w:t>
            </w:r>
          </w:p>
        </w:tc>
        <w:tc>
          <w:tcPr>
            <w:tcW w:w="575" w:type="dxa"/>
            <w:vAlign w:val="center"/>
          </w:tcPr>
          <w:p w14:paraId="4F48A2BC">
            <w:pPr>
              <w:spacing w:line="240" w:lineRule="auto"/>
              <w:jc w:val="center"/>
              <w:rPr>
                <w:rFonts w:ascii="宋体" w:hAnsi="宋体" w:cs="宋体"/>
                <w:sz w:val="18"/>
                <w:szCs w:val="18"/>
              </w:rPr>
            </w:pPr>
            <w:r>
              <w:rPr>
                <w:rFonts w:hint="eastAsia" w:ascii="宋体" w:hAnsi="宋体" w:cs="宋体"/>
                <w:sz w:val="18"/>
                <w:szCs w:val="18"/>
              </w:rPr>
              <w:t>8</w:t>
            </w:r>
          </w:p>
        </w:tc>
        <w:tc>
          <w:tcPr>
            <w:tcW w:w="2147" w:type="dxa"/>
            <w:vAlign w:val="center"/>
          </w:tcPr>
          <w:p w14:paraId="3097E2AF">
            <w:pPr>
              <w:spacing w:line="240" w:lineRule="auto"/>
              <w:jc w:val="center"/>
              <w:rPr>
                <w:rFonts w:ascii="宋体" w:hAnsi="宋体" w:cs="宋体"/>
                <w:sz w:val="18"/>
                <w:szCs w:val="18"/>
              </w:rPr>
            </w:pPr>
            <w:r>
              <w:rPr>
                <w:rFonts w:hint="eastAsia" w:ascii="宋体" w:hAnsi="宋体" w:cs="宋体"/>
                <w:sz w:val="18"/>
                <w:szCs w:val="18"/>
              </w:rPr>
              <w:t>2</w:t>
            </w:r>
            <w:r>
              <w:rPr>
                <w:rFonts w:hint="eastAsia"/>
              </w:rPr>
              <w:t>～</w:t>
            </w:r>
            <w:r>
              <w:rPr>
                <w:rFonts w:hint="eastAsia" w:ascii="宋体" w:hAnsi="宋体" w:cs="宋体"/>
                <w:sz w:val="18"/>
                <w:szCs w:val="18"/>
              </w:rPr>
              <w:t>1</w:t>
            </w:r>
          </w:p>
        </w:tc>
        <w:tc>
          <w:tcPr>
            <w:tcW w:w="585" w:type="dxa"/>
            <w:vAlign w:val="center"/>
          </w:tcPr>
          <w:p w14:paraId="4DE02BFD">
            <w:pPr>
              <w:spacing w:line="240" w:lineRule="auto"/>
              <w:jc w:val="center"/>
              <w:rPr>
                <w:rFonts w:ascii="宋体" w:hAnsi="宋体" w:cs="宋体"/>
                <w:sz w:val="18"/>
                <w:szCs w:val="18"/>
              </w:rPr>
            </w:pPr>
            <w:r>
              <w:rPr>
                <w:rFonts w:hint="eastAsia" w:ascii="宋体" w:hAnsi="宋体" w:cs="宋体"/>
                <w:sz w:val="18"/>
                <w:szCs w:val="18"/>
              </w:rPr>
              <w:t>6</w:t>
            </w:r>
          </w:p>
        </w:tc>
        <w:tc>
          <w:tcPr>
            <w:tcW w:w="2156" w:type="dxa"/>
            <w:vAlign w:val="center"/>
          </w:tcPr>
          <w:p w14:paraId="2C046FA3">
            <w:pPr>
              <w:spacing w:line="240" w:lineRule="auto"/>
              <w:jc w:val="center"/>
              <w:rPr>
                <w:rFonts w:ascii="宋体" w:hAnsi="宋体" w:cs="宋体"/>
                <w:sz w:val="18"/>
                <w:szCs w:val="18"/>
              </w:rPr>
            </w:pPr>
            <w:r>
              <w:rPr>
                <w:rFonts w:hint="eastAsia" w:ascii="宋体" w:hAnsi="宋体" w:cs="宋体"/>
                <w:sz w:val="18"/>
                <w:szCs w:val="18"/>
              </w:rPr>
              <w:t>1</w:t>
            </w:r>
            <w:r>
              <w:rPr>
                <w:rFonts w:hint="eastAsia"/>
              </w:rPr>
              <w:t>～</w:t>
            </w:r>
            <w:r>
              <w:rPr>
                <w:rFonts w:hint="eastAsia" w:ascii="宋体" w:hAnsi="宋体" w:cs="宋体"/>
                <w:sz w:val="18"/>
                <w:szCs w:val="18"/>
              </w:rPr>
              <w:t>0.2</w:t>
            </w:r>
          </w:p>
        </w:tc>
        <w:tc>
          <w:tcPr>
            <w:tcW w:w="719" w:type="dxa"/>
            <w:vAlign w:val="center"/>
          </w:tcPr>
          <w:p w14:paraId="413B9B2E">
            <w:pPr>
              <w:spacing w:line="240" w:lineRule="auto"/>
              <w:jc w:val="center"/>
              <w:rPr>
                <w:rFonts w:ascii="宋体" w:hAnsi="宋体" w:cs="宋体"/>
                <w:sz w:val="18"/>
                <w:szCs w:val="18"/>
              </w:rPr>
            </w:pPr>
            <w:r>
              <w:rPr>
                <w:rFonts w:hint="eastAsia" w:ascii="宋体" w:hAnsi="宋体" w:cs="宋体"/>
                <w:sz w:val="18"/>
                <w:szCs w:val="18"/>
              </w:rPr>
              <w:t>4</w:t>
            </w:r>
          </w:p>
        </w:tc>
        <w:tc>
          <w:tcPr>
            <w:tcW w:w="1725" w:type="dxa"/>
            <w:vAlign w:val="center"/>
          </w:tcPr>
          <w:p w14:paraId="26BCFAD2">
            <w:pPr>
              <w:spacing w:line="240" w:lineRule="auto"/>
              <w:jc w:val="center"/>
              <w:rPr>
                <w:rFonts w:ascii="宋体" w:hAnsi="宋体" w:cs="宋体"/>
                <w:sz w:val="18"/>
                <w:szCs w:val="18"/>
              </w:rPr>
            </w:pPr>
            <w:r>
              <w:rPr>
                <w:rFonts w:hint="eastAsia" w:ascii="宋体" w:hAnsi="宋体" w:cs="宋体"/>
                <w:sz w:val="18"/>
                <w:szCs w:val="18"/>
              </w:rPr>
              <w:t>＜0.2</w:t>
            </w:r>
          </w:p>
        </w:tc>
        <w:tc>
          <w:tcPr>
            <w:tcW w:w="626" w:type="dxa"/>
            <w:vAlign w:val="center"/>
          </w:tcPr>
          <w:p w14:paraId="3AEF0C3A">
            <w:pPr>
              <w:spacing w:line="240" w:lineRule="auto"/>
              <w:jc w:val="center"/>
              <w:rPr>
                <w:rFonts w:ascii="宋体" w:hAnsi="宋体" w:cs="宋体"/>
                <w:sz w:val="18"/>
                <w:szCs w:val="18"/>
              </w:rPr>
            </w:pPr>
            <w:r>
              <w:rPr>
                <w:rFonts w:hint="eastAsia" w:ascii="宋体" w:hAnsi="宋体" w:cs="宋体"/>
                <w:sz w:val="18"/>
                <w:szCs w:val="18"/>
              </w:rPr>
              <w:t>1</w:t>
            </w:r>
          </w:p>
        </w:tc>
      </w:tr>
      <w:tr w14:paraId="4071F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592554A9">
            <w:pPr>
              <w:spacing w:line="240" w:lineRule="auto"/>
              <w:jc w:val="center"/>
              <w:rPr>
                <w:rFonts w:ascii="宋体" w:hAnsi="宋体" w:cs="宋体"/>
                <w:sz w:val="18"/>
                <w:szCs w:val="18"/>
              </w:rPr>
            </w:pPr>
            <w:r>
              <w:rPr>
                <w:rFonts w:hint="eastAsia" w:ascii="宋体" w:hAnsi="宋体" w:cs="宋体"/>
                <w:sz w:val="18"/>
                <w:szCs w:val="18"/>
              </w:rPr>
              <w:t>8</w:t>
            </w:r>
          </w:p>
        </w:tc>
        <w:tc>
          <w:tcPr>
            <w:tcW w:w="2473" w:type="dxa"/>
            <w:vAlign w:val="center"/>
          </w:tcPr>
          <w:p w14:paraId="082DC7B7">
            <w:pPr>
              <w:spacing w:line="240" w:lineRule="auto"/>
              <w:jc w:val="center"/>
              <w:rPr>
                <w:rFonts w:ascii="宋体" w:hAnsi="宋体" w:cs="宋体"/>
                <w:sz w:val="18"/>
                <w:szCs w:val="18"/>
              </w:rPr>
            </w:pPr>
            <w:r>
              <w:rPr>
                <w:rFonts w:hint="eastAsia" w:ascii="宋体" w:hAnsi="宋体" w:cs="宋体"/>
                <w:sz w:val="18"/>
                <w:szCs w:val="18"/>
              </w:rPr>
              <w:t>岩性影响</w:t>
            </w:r>
          </w:p>
        </w:tc>
        <w:tc>
          <w:tcPr>
            <w:tcW w:w="2388" w:type="dxa"/>
            <w:vAlign w:val="center"/>
          </w:tcPr>
          <w:p w14:paraId="5F5375AB">
            <w:pPr>
              <w:spacing w:line="240" w:lineRule="auto"/>
              <w:jc w:val="center"/>
              <w:rPr>
                <w:rFonts w:ascii="宋体" w:hAnsi="宋体" w:cs="宋体"/>
                <w:sz w:val="18"/>
                <w:szCs w:val="18"/>
              </w:rPr>
            </w:pPr>
            <w:r>
              <w:rPr>
                <w:rFonts w:hint="eastAsia" w:ascii="宋体" w:hAnsi="宋体" w:cs="宋体"/>
                <w:sz w:val="18"/>
                <w:szCs w:val="18"/>
              </w:rPr>
              <w:t>软岩、黄土</w:t>
            </w:r>
          </w:p>
        </w:tc>
        <w:tc>
          <w:tcPr>
            <w:tcW w:w="575" w:type="dxa"/>
            <w:vAlign w:val="center"/>
          </w:tcPr>
          <w:p w14:paraId="1FD6182F">
            <w:pPr>
              <w:spacing w:line="240" w:lineRule="auto"/>
              <w:jc w:val="center"/>
              <w:rPr>
                <w:rFonts w:ascii="宋体" w:hAnsi="宋体" w:cs="宋体"/>
                <w:sz w:val="18"/>
                <w:szCs w:val="18"/>
              </w:rPr>
            </w:pPr>
            <w:r>
              <w:rPr>
                <w:rFonts w:hint="eastAsia" w:ascii="宋体" w:hAnsi="宋体" w:cs="宋体"/>
                <w:sz w:val="18"/>
                <w:szCs w:val="18"/>
              </w:rPr>
              <w:t>6</w:t>
            </w:r>
          </w:p>
        </w:tc>
        <w:tc>
          <w:tcPr>
            <w:tcW w:w="2147" w:type="dxa"/>
            <w:vAlign w:val="center"/>
          </w:tcPr>
          <w:p w14:paraId="736A8E99">
            <w:pPr>
              <w:spacing w:line="240" w:lineRule="auto"/>
              <w:jc w:val="center"/>
              <w:rPr>
                <w:rFonts w:ascii="宋体" w:hAnsi="宋体" w:cs="宋体"/>
                <w:sz w:val="18"/>
                <w:szCs w:val="18"/>
              </w:rPr>
            </w:pPr>
            <w:r>
              <w:rPr>
                <w:rFonts w:hint="eastAsia" w:ascii="宋体" w:hAnsi="宋体" w:cs="宋体"/>
                <w:sz w:val="18"/>
                <w:szCs w:val="18"/>
              </w:rPr>
              <w:t>软硬相间</w:t>
            </w:r>
          </w:p>
        </w:tc>
        <w:tc>
          <w:tcPr>
            <w:tcW w:w="585" w:type="dxa"/>
            <w:vAlign w:val="center"/>
          </w:tcPr>
          <w:p w14:paraId="59ED8761">
            <w:pPr>
              <w:spacing w:line="240" w:lineRule="auto"/>
              <w:jc w:val="center"/>
              <w:rPr>
                <w:rFonts w:ascii="宋体" w:hAnsi="宋体" w:cs="宋体"/>
                <w:sz w:val="18"/>
                <w:szCs w:val="18"/>
              </w:rPr>
            </w:pPr>
            <w:r>
              <w:rPr>
                <w:rFonts w:hint="eastAsia" w:ascii="宋体" w:hAnsi="宋体" w:cs="宋体"/>
                <w:sz w:val="18"/>
                <w:szCs w:val="18"/>
              </w:rPr>
              <w:t>5</w:t>
            </w:r>
          </w:p>
        </w:tc>
        <w:tc>
          <w:tcPr>
            <w:tcW w:w="2156" w:type="dxa"/>
            <w:vAlign w:val="center"/>
          </w:tcPr>
          <w:p w14:paraId="086F8190">
            <w:pPr>
              <w:spacing w:line="240" w:lineRule="auto"/>
              <w:jc w:val="center"/>
              <w:rPr>
                <w:rFonts w:ascii="宋体" w:hAnsi="宋体" w:cs="宋体"/>
                <w:sz w:val="18"/>
                <w:szCs w:val="18"/>
              </w:rPr>
            </w:pPr>
            <w:r>
              <w:rPr>
                <w:rFonts w:hint="eastAsia" w:ascii="宋体" w:hAnsi="宋体" w:cs="宋体"/>
                <w:sz w:val="18"/>
                <w:szCs w:val="18"/>
              </w:rPr>
              <w:t>风化和节理发育的硬岩</w:t>
            </w:r>
          </w:p>
        </w:tc>
        <w:tc>
          <w:tcPr>
            <w:tcW w:w="719" w:type="dxa"/>
            <w:vAlign w:val="center"/>
          </w:tcPr>
          <w:p w14:paraId="38CA2550">
            <w:pPr>
              <w:spacing w:line="240" w:lineRule="auto"/>
              <w:jc w:val="center"/>
              <w:rPr>
                <w:rFonts w:ascii="宋体" w:hAnsi="宋体" w:cs="宋体"/>
                <w:sz w:val="18"/>
                <w:szCs w:val="18"/>
              </w:rPr>
            </w:pPr>
            <w:r>
              <w:rPr>
                <w:rFonts w:hint="eastAsia" w:ascii="宋体" w:hAnsi="宋体" w:cs="宋体"/>
                <w:sz w:val="18"/>
                <w:szCs w:val="18"/>
              </w:rPr>
              <w:t>4</w:t>
            </w:r>
          </w:p>
        </w:tc>
        <w:tc>
          <w:tcPr>
            <w:tcW w:w="1725" w:type="dxa"/>
            <w:vAlign w:val="center"/>
          </w:tcPr>
          <w:p w14:paraId="3E064A26">
            <w:pPr>
              <w:spacing w:line="240" w:lineRule="auto"/>
              <w:jc w:val="center"/>
              <w:rPr>
                <w:rFonts w:ascii="宋体" w:hAnsi="宋体" w:cs="宋体"/>
                <w:sz w:val="18"/>
                <w:szCs w:val="18"/>
              </w:rPr>
            </w:pPr>
            <w:r>
              <w:rPr>
                <w:rFonts w:hint="eastAsia" w:ascii="宋体" w:hAnsi="宋体" w:cs="宋体"/>
                <w:sz w:val="18"/>
                <w:szCs w:val="18"/>
              </w:rPr>
              <w:t>硬岩</w:t>
            </w:r>
          </w:p>
        </w:tc>
        <w:tc>
          <w:tcPr>
            <w:tcW w:w="626" w:type="dxa"/>
            <w:vAlign w:val="center"/>
          </w:tcPr>
          <w:p w14:paraId="125776B7">
            <w:pPr>
              <w:spacing w:line="240" w:lineRule="auto"/>
              <w:jc w:val="center"/>
              <w:rPr>
                <w:rFonts w:ascii="宋体" w:hAnsi="宋体" w:cs="宋体"/>
                <w:sz w:val="18"/>
                <w:szCs w:val="18"/>
              </w:rPr>
            </w:pPr>
            <w:r>
              <w:rPr>
                <w:rFonts w:hint="eastAsia" w:ascii="宋体" w:hAnsi="宋体" w:cs="宋体"/>
                <w:sz w:val="18"/>
                <w:szCs w:val="18"/>
              </w:rPr>
              <w:t>1</w:t>
            </w:r>
          </w:p>
        </w:tc>
      </w:tr>
      <w:tr w14:paraId="68CC0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6ECF8131">
            <w:pPr>
              <w:spacing w:line="240" w:lineRule="auto"/>
              <w:jc w:val="center"/>
              <w:rPr>
                <w:rFonts w:ascii="宋体" w:hAnsi="宋体" w:cs="宋体"/>
                <w:sz w:val="18"/>
                <w:szCs w:val="18"/>
              </w:rPr>
            </w:pPr>
            <w:r>
              <w:rPr>
                <w:rFonts w:hint="eastAsia" w:ascii="宋体" w:hAnsi="宋体" w:cs="宋体"/>
                <w:sz w:val="18"/>
                <w:szCs w:val="18"/>
              </w:rPr>
              <w:t>9</w:t>
            </w:r>
          </w:p>
        </w:tc>
        <w:tc>
          <w:tcPr>
            <w:tcW w:w="2473" w:type="dxa"/>
            <w:vAlign w:val="center"/>
          </w:tcPr>
          <w:p w14:paraId="299C305C">
            <w:pPr>
              <w:spacing w:line="240" w:lineRule="auto"/>
              <w:jc w:val="center"/>
              <w:rPr>
                <w:rFonts w:ascii="宋体" w:hAnsi="宋体" w:cs="宋体"/>
                <w:sz w:val="18"/>
                <w:szCs w:val="18"/>
              </w:rPr>
            </w:pPr>
            <w:r>
              <w:rPr>
                <w:rFonts w:hint="eastAsia" w:ascii="宋体" w:hAnsi="宋体" w:cs="宋体"/>
                <w:sz w:val="18"/>
                <w:szCs w:val="18"/>
              </w:rPr>
              <w:t>沿沟松散物贮量（10</w:t>
            </w:r>
            <w:r>
              <w:rPr>
                <w:rFonts w:hint="eastAsia" w:ascii="宋体" w:hAnsi="宋体" w:cs="宋体"/>
                <w:sz w:val="18"/>
                <w:szCs w:val="18"/>
                <w:vertAlign w:val="superscript"/>
              </w:rPr>
              <w:t>4</w:t>
            </w:r>
            <w:r>
              <w:rPr>
                <w:rFonts w:hint="eastAsia" w:ascii="宋体" w:hAnsi="宋体" w:cs="宋体"/>
                <w:sz w:val="18"/>
                <w:szCs w:val="18"/>
              </w:rPr>
              <w:t>m</w:t>
            </w:r>
            <w:r>
              <w:rPr>
                <w:rFonts w:hint="eastAsia" w:ascii="宋体" w:hAnsi="宋体" w:cs="宋体"/>
                <w:sz w:val="18"/>
                <w:szCs w:val="18"/>
                <w:vertAlign w:val="superscript"/>
              </w:rPr>
              <w:t>3</w:t>
            </w:r>
            <w:r>
              <w:rPr>
                <w:rFonts w:hint="eastAsia" w:ascii="宋体" w:hAnsi="宋体" w:cs="宋体"/>
                <w:sz w:val="18"/>
                <w:szCs w:val="18"/>
              </w:rPr>
              <w:t>/km</w:t>
            </w:r>
            <w:r>
              <w:rPr>
                <w:rFonts w:hint="eastAsia" w:ascii="宋体" w:hAnsi="宋体" w:cs="宋体"/>
                <w:sz w:val="18"/>
                <w:szCs w:val="18"/>
                <w:vertAlign w:val="superscript"/>
              </w:rPr>
              <w:t>2</w:t>
            </w:r>
            <w:r>
              <w:rPr>
                <w:rFonts w:hint="eastAsia" w:ascii="宋体" w:hAnsi="宋体" w:cs="宋体"/>
                <w:sz w:val="18"/>
                <w:szCs w:val="18"/>
              </w:rPr>
              <w:t>）</w:t>
            </w:r>
          </w:p>
        </w:tc>
        <w:tc>
          <w:tcPr>
            <w:tcW w:w="2388" w:type="dxa"/>
            <w:vAlign w:val="center"/>
          </w:tcPr>
          <w:p w14:paraId="67F80120">
            <w:pPr>
              <w:spacing w:line="240" w:lineRule="auto"/>
              <w:jc w:val="center"/>
              <w:rPr>
                <w:rFonts w:ascii="宋体" w:hAnsi="宋体" w:cs="宋体"/>
                <w:sz w:val="18"/>
                <w:szCs w:val="18"/>
              </w:rPr>
            </w:pPr>
            <w:r>
              <w:rPr>
                <w:rFonts w:hint="eastAsia" w:ascii="宋体" w:hAnsi="宋体" w:cs="宋体"/>
                <w:sz w:val="18"/>
                <w:szCs w:val="18"/>
              </w:rPr>
              <w:t>＞10</w:t>
            </w:r>
          </w:p>
        </w:tc>
        <w:tc>
          <w:tcPr>
            <w:tcW w:w="575" w:type="dxa"/>
            <w:vAlign w:val="center"/>
          </w:tcPr>
          <w:p w14:paraId="3050224F">
            <w:pPr>
              <w:spacing w:line="240" w:lineRule="auto"/>
              <w:jc w:val="center"/>
              <w:rPr>
                <w:rFonts w:ascii="宋体" w:hAnsi="宋体" w:cs="宋体"/>
                <w:sz w:val="18"/>
                <w:szCs w:val="18"/>
              </w:rPr>
            </w:pPr>
            <w:r>
              <w:rPr>
                <w:rFonts w:hint="eastAsia" w:ascii="宋体" w:hAnsi="宋体" w:cs="宋体"/>
                <w:sz w:val="18"/>
                <w:szCs w:val="18"/>
              </w:rPr>
              <w:t>6</w:t>
            </w:r>
          </w:p>
        </w:tc>
        <w:tc>
          <w:tcPr>
            <w:tcW w:w="2147" w:type="dxa"/>
            <w:vAlign w:val="center"/>
          </w:tcPr>
          <w:p w14:paraId="0D4109F1">
            <w:pPr>
              <w:spacing w:line="240" w:lineRule="auto"/>
              <w:jc w:val="center"/>
              <w:rPr>
                <w:rFonts w:ascii="宋体" w:hAnsi="宋体" w:cs="宋体"/>
                <w:sz w:val="18"/>
                <w:szCs w:val="18"/>
              </w:rPr>
            </w:pPr>
            <w:r>
              <w:rPr>
                <w:rFonts w:hint="eastAsia" w:ascii="宋体" w:hAnsi="宋体" w:cs="宋体"/>
                <w:sz w:val="18"/>
                <w:szCs w:val="18"/>
              </w:rPr>
              <w:t>10－5</w:t>
            </w:r>
          </w:p>
        </w:tc>
        <w:tc>
          <w:tcPr>
            <w:tcW w:w="585" w:type="dxa"/>
            <w:vAlign w:val="center"/>
          </w:tcPr>
          <w:p w14:paraId="132722D8">
            <w:pPr>
              <w:spacing w:line="240" w:lineRule="auto"/>
              <w:jc w:val="center"/>
              <w:rPr>
                <w:rFonts w:ascii="宋体" w:hAnsi="宋体" w:cs="宋体"/>
                <w:sz w:val="18"/>
                <w:szCs w:val="18"/>
              </w:rPr>
            </w:pPr>
            <w:r>
              <w:rPr>
                <w:rFonts w:hint="eastAsia" w:ascii="宋体" w:hAnsi="宋体" w:cs="宋体"/>
                <w:sz w:val="18"/>
                <w:szCs w:val="18"/>
              </w:rPr>
              <w:t>5</w:t>
            </w:r>
          </w:p>
        </w:tc>
        <w:tc>
          <w:tcPr>
            <w:tcW w:w="2156" w:type="dxa"/>
            <w:vAlign w:val="center"/>
          </w:tcPr>
          <w:p w14:paraId="5F706619">
            <w:pPr>
              <w:spacing w:line="240" w:lineRule="auto"/>
              <w:jc w:val="center"/>
              <w:rPr>
                <w:rFonts w:ascii="宋体" w:hAnsi="宋体" w:cs="宋体"/>
                <w:sz w:val="18"/>
                <w:szCs w:val="18"/>
              </w:rPr>
            </w:pPr>
            <w:r>
              <w:rPr>
                <w:rFonts w:hint="eastAsia" w:ascii="宋体" w:hAnsi="宋体" w:cs="宋体"/>
                <w:sz w:val="18"/>
                <w:szCs w:val="18"/>
              </w:rPr>
              <w:t>5</w:t>
            </w:r>
            <w:r>
              <w:rPr>
                <w:rFonts w:hint="eastAsia"/>
              </w:rPr>
              <w:t>～</w:t>
            </w:r>
            <w:r>
              <w:rPr>
                <w:rFonts w:hint="eastAsia" w:ascii="宋体" w:hAnsi="宋体" w:cs="宋体"/>
                <w:sz w:val="18"/>
                <w:szCs w:val="18"/>
              </w:rPr>
              <w:t>1</w:t>
            </w:r>
          </w:p>
        </w:tc>
        <w:tc>
          <w:tcPr>
            <w:tcW w:w="719" w:type="dxa"/>
            <w:vAlign w:val="center"/>
          </w:tcPr>
          <w:p w14:paraId="7609BEAC">
            <w:pPr>
              <w:spacing w:line="240" w:lineRule="auto"/>
              <w:jc w:val="center"/>
              <w:rPr>
                <w:rFonts w:ascii="宋体" w:hAnsi="宋体" w:cs="宋体"/>
                <w:sz w:val="18"/>
                <w:szCs w:val="18"/>
              </w:rPr>
            </w:pPr>
            <w:r>
              <w:rPr>
                <w:rFonts w:hint="eastAsia" w:ascii="宋体" w:hAnsi="宋体" w:cs="宋体"/>
                <w:sz w:val="18"/>
                <w:szCs w:val="18"/>
              </w:rPr>
              <w:t>4</w:t>
            </w:r>
          </w:p>
        </w:tc>
        <w:tc>
          <w:tcPr>
            <w:tcW w:w="1725" w:type="dxa"/>
            <w:vAlign w:val="center"/>
          </w:tcPr>
          <w:p w14:paraId="6EE4B468">
            <w:pPr>
              <w:spacing w:line="240" w:lineRule="auto"/>
              <w:jc w:val="center"/>
              <w:rPr>
                <w:rFonts w:ascii="宋体" w:hAnsi="宋体" w:cs="宋体"/>
                <w:sz w:val="18"/>
                <w:szCs w:val="18"/>
              </w:rPr>
            </w:pPr>
            <w:r>
              <w:rPr>
                <w:rFonts w:hint="eastAsia" w:ascii="宋体" w:hAnsi="宋体" w:cs="宋体"/>
                <w:sz w:val="18"/>
                <w:szCs w:val="18"/>
              </w:rPr>
              <w:t>＜1</w:t>
            </w:r>
          </w:p>
        </w:tc>
        <w:tc>
          <w:tcPr>
            <w:tcW w:w="626" w:type="dxa"/>
            <w:vAlign w:val="center"/>
          </w:tcPr>
          <w:p w14:paraId="56E9F796">
            <w:pPr>
              <w:spacing w:line="240" w:lineRule="auto"/>
              <w:jc w:val="center"/>
              <w:rPr>
                <w:rFonts w:ascii="宋体" w:hAnsi="宋体" w:cs="宋体"/>
                <w:sz w:val="18"/>
                <w:szCs w:val="18"/>
              </w:rPr>
            </w:pPr>
            <w:r>
              <w:rPr>
                <w:rFonts w:hint="eastAsia" w:ascii="宋体" w:hAnsi="宋体" w:cs="宋体"/>
                <w:sz w:val="18"/>
                <w:szCs w:val="18"/>
              </w:rPr>
              <w:t>1</w:t>
            </w:r>
          </w:p>
        </w:tc>
      </w:tr>
      <w:tr w14:paraId="4E3B1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77528319">
            <w:pPr>
              <w:spacing w:line="240" w:lineRule="auto"/>
              <w:jc w:val="center"/>
              <w:rPr>
                <w:rFonts w:ascii="宋体" w:hAnsi="宋体" w:cs="宋体"/>
                <w:sz w:val="18"/>
                <w:szCs w:val="18"/>
              </w:rPr>
            </w:pPr>
            <w:r>
              <w:rPr>
                <w:rFonts w:hint="eastAsia" w:ascii="宋体" w:hAnsi="宋体" w:cs="宋体"/>
                <w:sz w:val="18"/>
                <w:szCs w:val="18"/>
              </w:rPr>
              <w:t>10</w:t>
            </w:r>
          </w:p>
        </w:tc>
        <w:tc>
          <w:tcPr>
            <w:tcW w:w="2473" w:type="dxa"/>
            <w:vAlign w:val="center"/>
          </w:tcPr>
          <w:p w14:paraId="337C60ED">
            <w:pPr>
              <w:spacing w:line="240" w:lineRule="auto"/>
              <w:jc w:val="center"/>
              <w:rPr>
                <w:rFonts w:ascii="宋体" w:hAnsi="宋体" w:cs="宋体"/>
                <w:sz w:val="18"/>
                <w:szCs w:val="18"/>
              </w:rPr>
            </w:pPr>
            <w:r>
              <w:rPr>
                <w:rFonts w:hint="eastAsia" w:ascii="宋体" w:hAnsi="宋体" w:cs="宋体"/>
                <w:sz w:val="18"/>
                <w:szCs w:val="18"/>
              </w:rPr>
              <w:t>沟岸山坡坡度（°，‰）</w:t>
            </w:r>
          </w:p>
        </w:tc>
        <w:tc>
          <w:tcPr>
            <w:tcW w:w="2388" w:type="dxa"/>
            <w:vAlign w:val="center"/>
          </w:tcPr>
          <w:p w14:paraId="459F2DE7">
            <w:pPr>
              <w:spacing w:line="240" w:lineRule="auto"/>
              <w:jc w:val="center"/>
              <w:rPr>
                <w:rFonts w:ascii="宋体" w:hAnsi="宋体" w:cs="宋体"/>
                <w:sz w:val="18"/>
                <w:szCs w:val="18"/>
              </w:rPr>
            </w:pPr>
            <w:r>
              <w:rPr>
                <w:rFonts w:hint="eastAsia" w:ascii="宋体" w:hAnsi="宋体" w:cs="宋体"/>
                <w:sz w:val="18"/>
                <w:szCs w:val="18"/>
              </w:rPr>
              <w:t>＞32（625）</w:t>
            </w:r>
          </w:p>
        </w:tc>
        <w:tc>
          <w:tcPr>
            <w:tcW w:w="575" w:type="dxa"/>
            <w:vAlign w:val="center"/>
          </w:tcPr>
          <w:p w14:paraId="06B0CD8A">
            <w:pPr>
              <w:spacing w:line="240" w:lineRule="auto"/>
              <w:jc w:val="center"/>
              <w:rPr>
                <w:rFonts w:ascii="宋体" w:hAnsi="宋体" w:cs="宋体"/>
                <w:sz w:val="18"/>
                <w:szCs w:val="18"/>
              </w:rPr>
            </w:pPr>
            <w:r>
              <w:rPr>
                <w:rFonts w:hint="eastAsia" w:ascii="宋体" w:hAnsi="宋体" w:cs="宋体"/>
                <w:sz w:val="18"/>
                <w:szCs w:val="18"/>
              </w:rPr>
              <w:t>6</w:t>
            </w:r>
          </w:p>
        </w:tc>
        <w:tc>
          <w:tcPr>
            <w:tcW w:w="2147" w:type="dxa"/>
            <w:vAlign w:val="center"/>
          </w:tcPr>
          <w:p w14:paraId="47C9D9B6">
            <w:pPr>
              <w:spacing w:line="240" w:lineRule="auto"/>
              <w:jc w:val="center"/>
              <w:rPr>
                <w:rFonts w:ascii="宋体" w:hAnsi="宋体" w:cs="宋体"/>
                <w:sz w:val="18"/>
                <w:szCs w:val="18"/>
              </w:rPr>
            </w:pPr>
            <w:r>
              <w:rPr>
                <w:rFonts w:hint="eastAsia" w:ascii="宋体" w:hAnsi="宋体" w:cs="宋体"/>
                <w:sz w:val="18"/>
                <w:szCs w:val="18"/>
              </w:rPr>
              <w:t>32</w:t>
            </w:r>
            <w:r>
              <w:rPr>
                <w:rFonts w:hint="eastAsia"/>
              </w:rPr>
              <w:t>～</w:t>
            </w:r>
            <w:r>
              <w:rPr>
                <w:rFonts w:hint="eastAsia" w:ascii="宋体" w:hAnsi="宋体" w:cs="宋体"/>
                <w:sz w:val="18"/>
                <w:szCs w:val="18"/>
              </w:rPr>
              <w:t>25（625</w:t>
            </w:r>
            <w:r>
              <w:rPr>
                <w:rFonts w:hint="eastAsia"/>
              </w:rPr>
              <w:t>～</w:t>
            </w:r>
            <w:r>
              <w:rPr>
                <w:rFonts w:hint="eastAsia" w:ascii="宋体" w:hAnsi="宋体" w:cs="宋体"/>
                <w:sz w:val="18"/>
                <w:szCs w:val="18"/>
              </w:rPr>
              <w:t>466）</w:t>
            </w:r>
          </w:p>
        </w:tc>
        <w:tc>
          <w:tcPr>
            <w:tcW w:w="585" w:type="dxa"/>
            <w:vAlign w:val="center"/>
          </w:tcPr>
          <w:p w14:paraId="25B1E5E6">
            <w:pPr>
              <w:spacing w:line="240" w:lineRule="auto"/>
              <w:jc w:val="center"/>
              <w:rPr>
                <w:rFonts w:ascii="宋体" w:hAnsi="宋体" w:cs="宋体"/>
                <w:sz w:val="18"/>
                <w:szCs w:val="18"/>
              </w:rPr>
            </w:pPr>
            <w:r>
              <w:rPr>
                <w:rFonts w:hint="eastAsia" w:ascii="宋体" w:hAnsi="宋体" w:cs="宋体"/>
                <w:sz w:val="18"/>
                <w:szCs w:val="18"/>
              </w:rPr>
              <w:t>5</w:t>
            </w:r>
          </w:p>
        </w:tc>
        <w:tc>
          <w:tcPr>
            <w:tcW w:w="2156" w:type="dxa"/>
            <w:vAlign w:val="center"/>
          </w:tcPr>
          <w:p w14:paraId="34CD66AC">
            <w:pPr>
              <w:spacing w:line="240" w:lineRule="auto"/>
              <w:jc w:val="center"/>
              <w:rPr>
                <w:rFonts w:ascii="宋体" w:hAnsi="宋体" w:cs="宋体"/>
                <w:sz w:val="18"/>
                <w:szCs w:val="18"/>
              </w:rPr>
            </w:pPr>
            <w:r>
              <w:rPr>
                <w:rFonts w:hint="eastAsia" w:ascii="宋体" w:hAnsi="宋体" w:cs="宋体"/>
                <w:sz w:val="18"/>
                <w:szCs w:val="18"/>
              </w:rPr>
              <w:t>25</w:t>
            </w:r>
            <w:r>
              <w:rPr>
                <w:rFonts w:hint="eastAsia"/>
              </w:rPr>
              <w:t>～</w:t>
            </w:r>
            <w:r>
              <w:rPr>
                <w:rFonts w:hint="eastAsia" w:ascii="宋体" w:hAnsi="宋体" w:cs="宋体"/>
                <w:sz w:val="18"/>
                <w:szCs w:val="18"/>
              </w:rPr>
              <w:t>15（466</w:t>
            </w:r>
            <w:r>
              <w:rPr>
                <w:rFonts w:hint="eastAsia"/>
              </w:rPr>
              <w:t>～</w:t>
            </w:r>
            <w:r>
              <w:rPr>
                <w:rFonts w:hint="eastAsia" w:ascii="宋体" w:hAnsi="宋体" w:cs="宋体"/>
                <w:sz w:val="18"/>
                <w:szCs w:val="18"/>
              </w:rPr>
              <w:t>286）</w:t>
            </w:r>
          </w:p>
        </w:tc>
        <w:tc>
          <w:tcPr>
            <w:tcW w:w="719" w:type="dxa"/>
            <w:vAlign w:val="center"/>
          </w:tcPr>
          <w:p w14:paraId="46E89E37">
            <w:pPr>
              <w:spacing w:line="240" w:lineRule="auto"/>
              <w:jc w:val="center"/>
              <w:rPr>
                <w:rFonts w:ascii="宋体" w:hAnsi="宋体" w:cs="宋体"/>
                <w:sz w:val="18"/>
                <w:szCs w:val="18"/>
              </w:rPr>
            </w:pPr>
            <w:r>
              <w:rPr>
                <w:rFonts w:hint="eastAsia" w:ascii="宋体" w:hAnsi="宋体" w:cs="宋体"/>
                <w:sz w:val="18"/>
                <w:szCs w:val="18"/>
              </w:rPr>
              <w:t>4</w:t>
            </w:r>
          </w:p>
        </w:tc>
        <w:tc>
          <w:tcPr>
            <w:tcW w:w="1725" w:type="dxa"/>
            <w:vAlign w:val="center"/>
          </w:tcPr>
          <w:p w14:paraId="650A73A1">
            <w:pPr>
              <w:spacing w:line="240" w:lineRule="auto"/>
              <w:jc w:val="center"/>
              <w:rPr>
                <w:rFonts w:ascii="宋体" w:hAnsi="宋体" w:cs="宋体"/>
                <w:sz w:val="18"/>
                <w:szCs w:val="18"/>
              </w:rPr>
            </w:pPr>
            <w:r>
              <w:rPr>
                <w:rFonts w:hint="eastAsia" w:ascii="宋体" w:hAnsi="宋体" w:cs="宋体"/>
                <w:sz w:val="18"/>
                <w:szCs w:val="18"/>
              </w:rPr>
              <w:t>＜15（268）</w:t>
            </w:r>
          </w:p>
        </w:tc>
        <w:tc>
          <w:tcPr>
            <w:tcW w:w="626" w:type="dxa"/>
            <w:vAlign w:val="center"/>
          </w:tcPr>
          <w:p w14:paraId="5D02C48C">
            <w:pPr>
              <w:spacing w:line="240" w:lineRule="auto"/>
              <w:jc w:val="center"/>
              <w:rPr>
                <w:rFonts w:ascii="宋体" w:hAnsi="宋体" w:cs="宋体"/>
                <w:sz w:val="18"/>
                <w:szCs w:val="18"/>
              </w:rPr>
            </w:pPr>
            <w:r>
              <w:rPr>
                <w:rFonts w:hint="eastAsia" w:ascii="宋体" w:hAnsi="宋体" w:cs="宋体"/>
                <w:sz w:val="18"/>
                <w:szCs w:val="18"/>
              </w:rPr>
              <w:t>1</w:t>
            </w:r>
          </w:p>
        </w:tc>
      </w:tr>
      <w:tr w14:paraId="597FA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4D392520">
            <w:pPr>
              <w:spacing w:line="240" w:lineRule="auto"/>
              <w:jc w:val="center"/>
              <w:rPr>
                <w:rFonts w:ascii="宋体" w:hAnsi="宋体" w:cs="宋体"/>
                <w:sz w:val="18"/>
                <w:szCs w:val="18"/>
              </w:rPr>
            </w:pPr>
            <w:r>
              <w:rPr>
                <w:rFonts w:hint="eastAsia" w:ascii="宋体" w:hAnsi="宋体" w:cs="宋体"/>
                <w:sz w:val="18"/>
                <w:szCs w:val="18"/>
              </w:rPr>
              <w:t>11</w:t>
            </w:r>
          </w:p>
        </w:tc>
        <w:tc>
          <w:tcPr>
            <w:tcW w:w="2473" w:type="dxa"/>
            <w:vAlign w:val="center"/>
          </w:tcPr>
          <w:p w14:paraId="24521AF6">
            <w:pPr>
              <w:spacing w:line="240" w:lineRule="auto"/>
              <w:jc w:val="center"/>
              <w:rPr>
                <w:rFonts w:ascii="宋体" w:hAnsi="宋体" w:cs="宋体"/>
                <w:sz w:val="18"/>
                <w:szCs w:val="18"/>
              </w:rPr>
            </w:pPr>
            <w:r>
              <w:rPr>
                <w:rFonts w:hint="eastAsia" w:ascii="宋体" w:hAnsi="宋体" w:cs="宋体"/>
                <w:sz w:val="18"/>
                <w:szCs w:val="18"/>
              </w:rPr>
              <w:t>产沙区沟槽横断面</w:t>
            </w:r>
          </w:p>
        </w:tc>
        <w:tc>
          <w:tcPr>
            <w:tcW w:w="2388" w:type="dxa"/>
            <w:vAlign w:val="center"/>
          </w:tcPr>
          <w:p w14:paraId="7CE11D24">
            <w:pPr>
              <w:spacing w:line="240" w:lineRule="auto"/>
              <w:jc w:val="center"/>
              <w:rPr>
                <w:rFonts w:ascii="宋体" w:hAnsi="宋体" w:cs="宋体"/>
                <w:sz w:val="18"/>
                <w:szCs w:val="18"/>
              </w:rPr>
            </w:pPr>
            <w:r>
              <w:rPr>
                <w:rFonts w:hint="eastAsia" w:ascii="宋体" w:hAnsi="宋体" w:cs="宋体"/>
                <w:sz w:val="18"/>
                <w:szCs w:val="18"/>
              </w:rPr>
              <w:t>V型谷、谷中谷、U型谷</w:t>
            </w:r>
          </w:p>
        </w:tc>
        <w:tc>
          <w:tcPr>
            <w:tcW w:w="575" w:type="dxa"/>
            <w:vAlign w:val="center"/>
          </w:tcPr>
          <w:p w14:paraId="6327DCBF">
            <w:pPr>
              <w:spacing w:line="240" w:lineRule="auto"/>
              <w:jc w:val="center"/>
              <w:rPr>
                <w:rFonts w:ascii="宋体" w:hAnsi="宋体" w:cs="宋体"/>
                <w:sz w:val="18"/>
                <w:szCs w:val="18"/>
              </w:rPr>
            </w:pPr>
            <w:r>
              <w:rPr>
                <w:rFonts w:hint="eastAsia" w:ascii="宋体" w:hAnsi="宋体" w:cs="宋体"/>
                <w:sz w:val="18"/>
                <w:szCs w:val="18"/>
              </w:rPr>
              <w:t>5</w:t>
            </w:r>
          </w:p>
        </w:tc>
        <w:tc>
          <w:tcPr>
            <w:tcW w:w="2147" w:type="dxa"/>
            <w:vAlign w:val="center"/>
          </w:tcPr>
          <w:p w14:paraId="0B4C702B">
            <w:pPr>
              <w:spacing w:line="240" w:lineRule="auto"/>
              <w:jc w:val="center"/>
              <w:rPr>
                <w:rFonts w:ascii="宋体" w:hAnsi="宋体" w:cs="宋体"/>
                <w:sz w:val="18"/>
                <w:szCs w:val="18"/>
              </w:rPr>
            </w:pPr>
            <w:r>
              <w:rPr>
                <w:rFonts w:hint="eastAsia" w:ascii="宋体" w:hAnsi="宋体" w:cs="宋体"/>
                <w:sz w:val="18"/>
                <w:szCs w:val="18"/>
              </w:rPr>
              <w:t>拓宽U型谷</w:t>
            </w:r>
          </w:p>
        </w:tc>
        <w:tc>
          <w:tcPr>
            <w:tcW w:w="585" w:type="dxa"/>
            <w:vAlign w:val="center"/>
          </w:tcPr>
          <w:p w14:paraId="0E77E0DD">
            <w:pPr>
              <w:spacing w:line="240" w:lineRule="auto"/>
              <w:jc w:val="center"/>
              <w:rPr>
                <w:rFonts w:ascii="宋体" w:hAnsi="宋体" w:cs="宋体"/>
                <w:sz w:val="18"/>
                <w:szCs w:val="18"/>
              </w:rPr>
            </w:pPr>
            <w:r>
              <w:rPr>
                <w:rFonts w:hint="eastAsia" w:ascii="宋体" w:hAnsi="宋体" w:cs="宋体"/>
                <w:sz w:val="18"/>
                <w:szCs w:val="18"/>
              </w:rPr>
              <w:t>4</w:t>
            </w:r>
          </w:p>
        </w:tc>
        <w:tc>
          <w:tcPr>
            <w:tcW w:w="2156" w:type="dxa"/>
            <w:vAlign w:val="center"/>
          </w:tcPr>
          <w:p w14:paraId="27FA3D74">
            <w:pPr>
              <w:spacing w:line="240" w:lineRule="auto"/>
              <w:jc w:val="center"/>
              <w:rPr>
                <w:rFonts w:ascii="宋体" w:hAnsi="宋体" w:cs="宋体"/>
                <w:sz w:val="18"/>
                <w:szCs w:val="18"/>
              </w:rPr>
            </w:pPr>
            <w:r>
              <w:rPr>
                <w:rFonts w:hint="eastAsia" w:ascii="宋体" w:hAnsi="宋体" w:cs="宋体"/>
                <w:sz w:val="18"/>
                <w:szCs w:val="18"/>
              </w:rPr>
              <w:t>复式断面</w:t>
            </w:r>
          </w:p>
        </w:tc>
        <w:tc>
          <w:tcPr>
            <w:tcW w:w="719" w:type="dxa"/>
            <w:vAlign w:val="center"/>
          </w:tcPr>
          <w:p w14:paraId="46144356">
            <w:pPr>
              <w:spacing w:line="240" w:lineRule="auto"/>
              <w:jc w:val="center"/>
              <w:rPr>
                <w:rFonts w:ascii="宋体" w:hAnsi="宋体" w:cs="宋体"/>
                <w:sz w:val="18"/>
                <w:szCs w:val="18"/>
              </w:rPr>
            </w:pPr>
            <w:r>
              <w:rPr>
                <w:rFonts w:hint="eastAsia" w:ascii="宋体" w:hAnsi="宋体" w:cs="宋体"/>
                <w:sz w:val="18"/>
                <w:szCs w:val="18"/>
              </w:rPr>
              <w:t>3</w:t>
            </w:r>
          </w:p>
        </w:tc>
        <w:tc>
          <w:tcPr>
            <w:tcW w:w="1725" w:type="dxa"/>
            <w:vAlign w:val="center"/>
          </w:tcPr>
          <w:p w14:paraId="12681CED">
            <w:pPr>
              <w:spacing w:line="240" w:lineRule="auto"/>
              <w:jc w:val="center"/>
              <w:rPr>
                <w:rFonts w:ascii="宋体" w:hAnsi="宋体" w:cs="宋体"/>
                <w:sz w:val="18"/>
                <w:szCs w:val="18"/>
              </w:rPr>
            </w:pPr>
            <w:r>
              <w:rPr>
                <w:rFonts w:hint="eastAsia" w:ascii="宋体" w:hAnsi="宋体" w:cs="宋体"/>
                <w:sz w:val="18"/>
                <w:szCs w:val="18"/>
              </w:rPr>
              <w:t>平坦型</w:t>
            </w:r>
          </w:p>
        </w:tc>
        <w:tc>
          <w:tcPr>
            <w:tcW w:w="626" w:type="dxa"/>
            <w:vAlign w:val="center"/>
          </w:tcPr>
          <w:p w14:paraId="3F2A6C0A">
            <w:pPr>
              <w:spacing w:line="240" w:lineRule="auto"/>
              <w:jc w:val="center"/>
              <w:rPr>
                <w:rFonts w:ascii="宋体" w:hAnsi="宋体" w:cs="宋体"/>
                <w:sz w:val="18"/>
                <w:szCs w:val="18"/>
              </w:rPr>
            </w:pPr>
            <w:r>
              <w:rPr>
                <w:rFonts w:hint="eastAsia" w:ascii="宋体" w:hAnsi="宋体" w:cs="宋体"/>
                <w:sz w:val="18"/>
                <w:szCs w:val="18"/>
              </w:rPr>
              <w:t>1</w:t>
            </w:r>
          </w:p>
        </w:tc>
      </w:tr>
      <w:tr w14:paraId="33B60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1061FFF1">
            <w:pPr>
              <w:spacing w:line="240" w:lineRule="auto"/>
              <w:jc w:val="center"/>
              <w:rPr>
                <w:rFonts w:ascii="宋体" w:hAnsi="宋体" w:cs="宋体"/>
                <w:sz w:val="18"/>
                <w:szCs w:val="18"/>
              </w:rPr>
            </w:pPr>
            <w:r>
              <w:rPr>
                <w:rFonts w:hint="eastAsia" w:ascii="宋体" w:hAnsi="宋体" w:cs="宋体"/>
                <w:sz w:val="18"/>
                <w:szCs w:val="18"/>
              </w:rPr>
              <w:t>12</w:t>
            </w:r>
          </w:p>
        </w:tc>
        <w:tc>
          <w:tcPr>
            <w:tcW w:w="2473" w:type="dxa"/>
            <w:vAlign w:val="center"/>
          </w:tcPr>
          <w:p w14:paraId="1AA46C63">
            <w:pPr>
              <w:spacing w:line="240" w:lineRule="auto"/>
              <w:jc w:val="center"/>
              <w:rPr>
                <w:rFonts w:ascii="宋体" w:hAnsi="宋体" w:cs="宋体"/>
                <w:sz w:val="18"/>
                <w:szCs w:val="18"/>
              </w:rPr>
            </w:pPr>
            <w:r>
              <w:rPr>
                <w:rFonts w:hint="eastAsia" w:ascii="宋体" w:hAnsi="宋体" w:cs="宋体"/>
                <w:sz w:val="18"/>
                <w:szCs w:val="18"/>
              </w:rPr>
              <w:t>产沙区松散物平均厚度（m）</w:t>
            </w:r>
          </w:p>
        </w:tc>
        <w:tc>
          <w:tcPr>
            <w:tcW w:w="2388" w:type="dxa"/>
            <w:vAlign w:val="center"/>
          </w:tcPr>
          <w:p w14:paraId="30DECF68">
            <w:pPr>
              <w:spacing w:line="240" w:lineRule="auto"/>
              <w:jc w:val="center"/>
              <w:rPr>
                <w:rFonts w:ascii="宋体" w:hAnsi="宋体" w:cs="宋体"/>
                <w:sz w:val="18"/>
                <w:szCs w:val="18"/>
              </w:rPr>
            </w:pPr>
            <w:r>
              <w:rPr>
                <w:rFonts w:hint="eastAsia" w:ascii="宋体" w:hAnsi="宋体" w:cs="宋体"/>
                <w:sz w:val="18"/>
                <w:szCs w:val="18"/>
              </w:rPr>
              <w:t>＞10</w:t>
            </w:r>
          </w:p>
        </w:tc>
        <w:tc>
          <w:tcPr>
            <w:tcW w:w="575" w:type="dxa"/>
            <w:vAlign w:val="center"/>
          </w:tcPr>
          <w:p w14:paraId="6EC7A085">
            <w:pPr>
              <w:spacing w:line="240" w:lineRule="auto"/>
              <w:jc w:val="center"/>
              <w:rPr>
                <w:rFonts w:ascii="宋体" w:hAnsi="宋体" w:cs="宋体"/>
                <w:sz w:val="18"/>
                <w:szCs w:val="18"/>
              </w:rPr>
            </w:pPr>
            <w:r>
              <w:rPr>
                <w:rFonts w:hint="eastAsia" w:ascii="宋体" w:hAnsi="宋体" w:cs="宋体"/>
                <w:sz w:val="18"/>
                <w:szCs w:val="18"/>
              </w:rPr>
              <w:t>5</w:t>
            </w:r>
          </w:p>
        </w:tc>
        <w:tc>
          <w:tcPr>
            <w:tcW w:w="2147" w:type="dxa"/>
            <w:vAlign w:val="center"/>
          </w:tcPr>
          <w:p w14:paraId="7B66030D">
            <w:pPr>
              <w:spacing w:line="240" w:lineRule="auto"/>
              <w:jc w:val="center"/>
              <w:rPr>
                <w:rFonts w:ascii="宋体" w:hAnsi="宋体" w:cs="宋体"/>
                <w:sz w:val="18"/>
                <w:szCs w:val="18"/>
              </w:rPr>
            </w:pPr>
            <w:r>
              <w:rPr>
                <w:rFonts w:hint="eastAsia" w:ascii="宋体" w:hAnsi="宋体" w:cs="宋体"/>
                <w:sz w:val="18"/>
                <w:szCs w:val="18"/>
              </w:rPr>
              <w:t>10</w:t>
            </w:r>
            <w:r>
              <w:rPr>
                <w:rFonts w:hint="eastAsia"/>
              </w:rPr>
              <w:t>～</w:t>
            </w:r>
            <w:r>
              <w:rPr>
                <w:rFonts w:hint="eastAsia" w:ascii="宋体" w:hAnsi="宋体" w:cs="宋体"/>
                <w:sz w:val="18"/>
                <w:szCs w:val="18"/>
              </w:rPr>
              <w:t>5</w:t>
            </w:r>
          </w:p>
        </w:tc>
        <w:tc>
          <w:tcPr>
            <w:tcW w:w="585" w:type="dxa"/>
            <w:vAlign w:val="center"/>
          </w:tcPr>
          <w:p w14:paraId="139009EE">
            <w:pPr>
              <w:spacing w:line="240" w:lineRule="auto"/>
              <w:jc w:val="center"/>
              <w:rPr>
                <w:rFonts w:ascii="宋体" w:hAnsi="宋体" w:cs="宋体"/>
                <w:sz w:val="18"/>
                <w:szCs w:val="18"/>
              </w:rPr>
            </w:pPr>
            <w:r>
              <w:rPr>
                <w:rFonts w:hint="eastAsia" w:ascii="宋体" w:hAnsi="宋体" w:cs="宋体"/>
                <w:sz w:val="18"/>
                <w:szCs w:val="18"/>
              </w:rPr>
              <w:t>4</w:t>
            </w:r>
          </w:p>
        </w:tc>
        <w:tc>
          <w:tcPr>
            <w:tcW w:w="2156" w:type="dxa"/>
            <w:vAlign w:val="center"/>
          </w:tcPr>
          <w:p w14:paraId="17D99AD9">
            <w:pPr>
              <w:spacing w:line="240" w:lineRule="auto"/>
              <w:jc w:val="center"/>
              <w:rPr>
                <w:rFonts w:ascii="宋体" w:hAnsi="宋体" w:cs="宋体"/>
                <w:sz w:val="18"/>
                <w:szCs w:val="18"/>
              </w:rPr>
            </w:pPr>
            <w:r>
              <w:rPr>
                <w:rFonts w:hint="eastAsia" w:ascii="宋体" w:hAnsi="宋体" w:cs="宋体"/>
                <w:sz w:val="18"/>
                <w:szCs w:val="18"/>
              </w:rPr>
              <w:t>5</w:t>
            </w:r>
            <w:r>
              <w:rPr>
                <w:rFonts w:hint="eastAsia"/>
              </w:rPr>
              <w:t>～</w:t>
            </w:r>
            <w:r>
              <w:rPr>
                <w:rFonts w:hint="eastAsia" w:ascii="宋体" w:hAnsi="宋体" w:cs="宋体"/>
                <w:sz w:val="18"/>
                <w:szCs w:val="18"/>
              </w:rPr>
              <w:t>1</w:t>
            </w:r>
          </w:p>
        </w:tc>
        <w:tc>
          <w:tcPr>
            <w:tcW w:w="719" w:type="dxa"/>
            <w:vAlign w:val="center"/>
          </w:tcPr>
          <w:p w14:paraId="121630D4">
            <w:pPr>
              <w:spacing w:line="240" w:lineRule="auto"/>
              <w:jc w:val="center"/>
              <w:rPr>
                <w:rFonts w:ascii="宋体" w:hAnsi="宋体" w:cs="宋体"/>
                <w:sz w:val="18"/>
                <w:szCs w:val="18"/>
              </w:rPr>
            </w:pPr>
            <w:r>
              <w:rPr>
                <w:rFonts w:hint="eastAsia" w:ascii="宋体" w:hAnsi="宋体" w:cs="宋体"/>
                <w:sz w:val="18"/>
                <w:szCs w:val="18"/>
              </w:rPr>
              <w:t>3</w:t>
            </w:r>
          </w:p>
        </w:tc>
        <w:tc>
          <w:tcPr>
            <w:tcW w:w="1725" w:type="dxa"/>
            <w:vAlign w:val="center"/>
          </w:tcPr>
          <w:p w14:paraId="785BFF1E">
            <w:pPr>
              <w:spacing w:line="240" w:lineRule="auto"/>
              <w:jc w:val="center"/>
              <w:rPr>
                <w:rFonts w:ascii="宋体" w:hAnsi="宋体" w:cs="宋体"/>
                <w:sz w:val="18"/>
                <w:szCs w:val="18"/>
              </w:rPr>
            </w:pPr>
            <w:r>
              <w:rPr>
                <w:rFonts w:hint="eastAsia" w:ascii="宋体" w:hAnsi="宋体" w:cs="宋体"/>
                <w:sz w:val="18"/>
                <w:szCs w:val="18"/>
              </w:rPr>
              <w:t>＜1</w:t>
            </w:r>
          </w:p>
        </w:tc>
        <w:tc>
          <w:tcPr>
            <w:tcW w:w="626" w:type="dxa"/>
            <w:vAlign w:val="center"/>
          </w:tcPr>
          <w:p w14:paraId="7C571463">
            <w:pPr>
              <w:spacing w:line="240" w:lineRule="auto"/>
              <w:jc w:val="center"/>
              <w:rPr>
                <w:rFonts w:ascii="宋体" w:hAnsi="宋体" w:cs="宋体"/>
                <w:sz w:val="18"/>
                <w:szCs w:val="18"/>
              </w:rPr>
            </w:pPr>
            <w:r>
              <w:rPr>
                <w:rFonts w:hint="eastAsia" w:ascii="宋体" w:hAnsi="宋体" w:cs="宋体"/>
                <w:sz w:val="18"/>
                <w:szCs w:val="18"/>
              </w:rPr>
              <w:t>1</w:t>
            </w:r>
          </w:p>
        </w:tc>
      </w:tr>
      <w:tr w14:paraId="28800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697BD35F">
            <w:pPr>
              <w:spacing w:line="240" w:lineRule="auto"/>
              <w:jc w:val="center"/>
              <w:rPr>
                <w:rFonts w:ascii="宋体" w:hAnsi="宋体" w:cs="宋体"/>
                <w:sz w:val="18"/>
                <w:szCs w:val="18"/>
              </w:rPr>
            </w:pPr>
            <w:r>
              <w:rPr>
                <w:rFonts w:hint="eastAsia" w:ascii="宋体" w:hAnsi="宋体" w:cs="宋体"/>
                <w:sz w:val="18"/>
                <w:szCs w:val="18"/>
              </w:rPr>
              <w:t>13</w:t>
            </w:r>
          </w:p>
        </w:tc>
        <w:tc>
          <w:tcPr>
            <w:tcW w:w="2473" w:type="dxa"/>
            <w:vAlign w:val="center"/>
          </w:tcPr>
          <w:p w14:paraId="4E68C0DF">
            <w:pPr>
              <w:spacing w:line="240" w:lineRule="auto"/>
              <w:jc w:val="center"/>
              <w:rPr>
                <w:rFonts w:ascii="宋体" w:hAnsi="宋体" w:cs="宋体"/>
                <w:sz w:val="18"/>
                <w:szCs w:val="18"/>
              </w:rPr>
            </w:pPr>
            <w:r>
              <w:rPr>
                <w:rFonts w:hint="eastAsia" w:ascii="宋体" w:hAnsi="宋体" w:cs="宋体"/>
                <w:sz w:val="18"/>
                <w:szCs w:val="18"/>
              </w:rPr>
              <w:t>流域面积（km</w:t>
            </w:r>
            <w:r>
              <w:rPr>
                <w:rFonts w:hint="eastAsia" w:ascii="宋体" w:hAnsi="宋体" w:cs="宋体"/>
                <w:sz w:val="18"/>
                <w:szCs w:val="18"/>
                <w:vertAlign w:val="superscript"/>
              </w:rPr>
              <w:t>2</w:t>
            </w:r>
            <w:r>
              <w:rPr>
                <w:rFonts w:hint="eastAsia" w:ascii="宋体" w:hAnsi="宋体" w:cs="宋体"/>
                <w:sz w:val="18"/>
                <w:szCs w:val="18"/>
              </w:rPr>
              <w:t>）</w:t>
            </w:r>
          </w:p>
        </w:tc>
        <w:tc>
          <w:tcPr>
            <w:tcW w:w="2388" w:type="dxa"/>
            <w:vAlign w:val="center"/>
          </w:tcPr>
          <w:p w14:paraId="23BC114A">
            <w:pPr>
              <w:spacing w:line="240" w:lineRule="auto"/>
              <w:jc w:val="center"/>
              <w:rPr>
                <w:rFonts w:ascii="宋体" w:hAnsi="宋体" w:cs="宋体"/>
                <w:sz w:val="18"/>
                <w:szCs w:val="18"/>
              </w:rPr>
            </w:pPr>
            <w:r>
              <w:rPr>
                <w:rFonts w:hint="eastAsia" w:ascii="宋体" w:hAnsi="宋体" w:cs="宋体"/>
                <w:sz w:val="18"/>
                <w:szCs w:val="18"/>
              </w:rPr>
              <w:t>0.2</w:t>
            </w:r>
            <w:r>
              <w:rPr>
                <w:rFonts w:hint="eastAsia"/>
              </w:rPr>
              <w:t>～</w:t>
            </w:r>
            <w:r>
              <w:rPr>
                <w:rFonts w:hint="eastAsia" w:ascii="宋体" w:hAnsi="宋体" w:cs="宋体"/>
                <w:sz w:val="18"/>
                <w:szCs w:val="18"/>
              </w:rPr>
              <w:t>5</w:t>
            </w:r>
          </w:p>
        </w:tc>
        <w:tc>
          <w:tcPr>
            <w:tcW w:w="575" w:type="dxa"/>
            <w:vAlign w:val="center"/>
          </w:tcPr>
          <w:p w14:paraId="00F01B67">
            <w:pPr>
              <w:spacing w:line="240" w:lineRule="auto"/>
              <w:jc w:val="center"/>
              <w:rPr>
                <w:rFonts w:ascii="宋体" w:hAnsi="宋体" w:cs="宋体"/>
                <w:sz w:val="18"/>
                <w:szCs w:val="18"/>
              </w:rPr>
            </w:pPr>
            <w:r>
              <w:rPr>
                <w:rFonts w:hint="eastAsia" w:ascii="宋体" w:hAnsi="宋体" w:cs="宋体"/>
                <w:sz w:val="18"/>
                <w:szCs w:val="18"/>
              </w:rPr>
              <w:t>5</w:t>
            </w:r>
          </w:p>
        </w:tc>
        <w:tc>
          <w:tcPr>
            <w:tcW w:w="2147" w:type="dxa"/>
            <w:vAlign w:val="center"/>
          </w:tcPr>
          <w:p w14:paraId="1657F7E4">
            <w:pPr>
              <w:spacing w:line="240" w:lineRule="auto"/>
              <w:jc w:val="center"/>
              <w:rPr>
                <w:rFonts w:ascii="宋体" w:hAnsi="宋体" w:cs="宋体"/>
                <w:sz w:val="18"/>
                <w:szCs w:val="18"/>
              </w:rPr>
            </w:pPr>
            <w:r>
              <w:rPr>
                <w:rFonts w:hint="eastAsia" w:ascii="宋体" w:hAnsi="宋体" w:cs="宋体"/>
                <w:sz w:val="18"/>
                <w:szCs w:val="18"/>
              </w:rPr>
              <w:t>5</w:t>
            </w:r>
            <w:r>
              <w:rPr>
                <w:rFonts w:hint="eastAsia"/>
              </w:rPr>
              <w:t>～</w:t>
            </w:r>
            <w:r>
              <w:rPr>
                <w:rFonts w:hint="eastAsia" w:ascii="宋体" w:hAnsi="宋体" w:cs="宋体"/>
                <w:sz w:val="18"/>
                <w:szCs w:val="18"/>
              </w:rPr>
              <w:t>10</w:t>
            </w:r>
          </w:p>
        </w:tc>
        <w:tc>
          <w:tcPr>
            <w:tcW w:w="585" w:type="dxa"/>
            <w:vAlign w:val="center"/>
          </w:tcPr>
          <w:p w14:paraId="47CDA585">
            <w:pPr>
              <w:spacing w:line="240" w:lineRule="auto"/>
              <w:jc w:val="center"/>
              <w:rPr>
                <w:rFonts w:ascii="宋体" w:hAnsi="宋体" w:cs="宋体"/>
                <w:sz w:val="18"/>
                <w:szCs w:val="18"/>
              </w:rPr>
            </w:pPr>
            <w:r>
              <w:rPr>
                <w:rFonts w:hint="eastAsia" w:ascii="宋体" w:hAnsi="宋体" w:cs="宋体"/>
                <w:sz w:val="18"/>
                <w:szCs w:val="18"/>
              </w:rPr>
              <w:t>4</w:t>
            </w:r>
          </w:p>
        </w:tc>
        <w:tc>
          <w:tcPr>
            <w:tcW w:w="2156" w:type="dxa"/>
            <w:vAlign w:val="center"/>
          </w:tcPr>
          <w:p w14:paraId="3753AD6E">
            <w:pPr>
              <w:spacing w:line="240" w:lineRule="auto"/>
              <w:jc w:val="center"/>
              <w:rPr>
                <w:rFonts w:ascii="宋体" w:hAnsi="宋体" w:cs="宋体"/>
                <w:sz w:val="18"/>
                <w:szCs w:val="18"/>
              </w:rPr>
            </w:pPr>
            <w:r>
              <w:rPr>
                <w:rFonts w:hint="eastAsia" w:ascii="宋体" w:hAnsi="宋体" w:cs="宋体"/>
                <w:sz w:val="18"/>
                <w:szCs w:val="18"/>
              </w:rPr>
              <w:t>＜0.2，10</w:t>
            </w:r>
            <w:r>
              <w:rPr>
                <w:rFonts w:hint="eastAsia"/>
              </w:rPr>
              <w:t>～</w:t>
            </w:r>
            <w:r>
              <w:rPr>
                <w:rFonts w:hint="eastAsia" w:ascii="宋体" w:hAnsi="宋体" w:cs="宋体"/>
                <w:sz w:val="18"/>
                <w:szCs w:val="18"/>
              </w:rPr>
              <w:t>100</w:t>
            </w:r>
          </w:p>
        </w:tc>
        <w:tc>
          <w:tcPr>
            <w:tcW w:w="719" w:type="dxa"/>
            <w:vAlign w:val="center"/>
          </w:tcPr>
          <w:p w14:paraId="2031297B">
            <w:pPr>
              <w:spacing w:line="240" w:lineRule="auto"/>
              <w:jc w:val="center"/>
              <w:rPr>
                <w:rFonts w:ascii="宋体" w:hAnsi="宋体" w:cs="宋体"/>
                <w:sz w:val="18"/>
                <w:szCs w:val="18"/>
              </w:rPr>
            </w:pPr>
            <w:r>
              <w:rPr>
                <w:rFonts w:hint="eastAsia" w:ascii="宋体" w:hAnsi="宋体" w:cs="宋体"/>
                <w:sz w:val="18"/>
                <w:szCs w:val="18"/>
              </w:rPr>
              <w:t>3</w:t>
            </w:r>
          </w:p>
        </w:tc>
        <w:tc>
          <w:tcPr>
            <w:tcW w:w="1725" w:type="dxa"/>
            <w:vAlign w:val="center"/>
          </w:tcPr>
          <w:p w14:paraId="19112954">
            <w:pPr>
              <w:spacing w:line="240" w:lineRule="auto"/>
              <w:jc w:val="center"/>
              <w:rPr>
                <w:rFonts w:ascii="宋体" w:hAnsi="宋体" w:cs="宋体"/>
                <w:sz w:val="18"/>
                <w:szCs w:val="18"/>
              </w:rPr>
            </w:pPr>
            <w:r>
              <w:rPr>
                <w:rFonts w:hint="eastAsia" w:ascii="宋体" w:hAnsi="宋体" w:cs="宋体"/>
                <w:sz w:val="18"/>
                <w:szCs w:val="18"/>
              </w:rPr>
              <w:t>＞100</w:t>
            </w:r>
          </w:p>
        </w:tc>
        <w:tc>
          <w:tcPr>
            <w:tcW w:w="626" w:type="dxa"/>
            <w:vAlign w:val="center"/>
          </w:tcPr>
          <w:p w14:paraId="426B4698">
            <w:pPr>
              <w:spacing w:line="240" w:lineRule="auto"/>
              <w:jc w:val="center"/>
              <w:rPr>
                <w:rFonts w:ascii="宋体" w:hAnsi="宋体" w:cs="宋体"/>
                <w:sz w:val="18"/>
                <w:szCs w:val="18"/>
              </w:rPr>
            </w:pPr>
            <w:r>
              <w:rPr>
                <w:rFonts w:hint="eastAsia" w:ascii="宋体" w:hAnsi="宋体" w:cs="宋体"/>
                <w:sz w:val="18"/>
                <w:szCs w:val="18"/>
              </w:rPr>
              <w:t>1</w:t>
            </w:r>
          </w:p>
        </w:tc>
      </w:tr>
      <w:tr w14:paraId="7AD77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6" w:type="dxa"/>
            <w:vAlign w:val="center"/>
          </w:tcPr>
          <w:p w14:paraId="53D443DD">
            <w:pPr>
              <w:spacing w:line="240" w:lineRule="auto"/>
              <w:jc w:val="center"/>
              <w:rPr>
                <w:rFonts w:ascii="宋体" w:hAnsi="宋体" w:cs="宋体"/>
                <w:sz w:val="18"/>
                <w:szCs w:val="18"/>
              </w:rPr>
            </w:pPr>
            <w:r>
              <w:rPr>
                <w:rFonts w:hint="eastAsia" w:ascii="宋体" w:hAnsi="宋体" w:cs="宋体"/>
                <w:sz w:val="18"/>
                <w:szCs w:val="18"/>
              </w:rPr>
              <w:t>14</w:t>
            </w:r>
          </w:p>
        </w:tc>
        <w:tc>
          <w:tcPr>
            <w:tcW w:w="2473" w:type="dxa"/>
            <w:vAlign w:val="center"/>
          </w:tcPr>
          <w:p w14:paraId="113C4670">
            <w:pPr>
              <w:spacing w:line="240" w:lineRule="auto"/>
              <w:jc w:val="center"/>
              <w:rPr>
                <w:rFonts w:ascii="宋体" w:hAnsi="宋体" w:cs="宋体"/>
                <w:sz w:val="18"/>
                <w:szCs w:val="18"/>
              </w:rPr>
            </w:pPr>
            <w:r>
              <w:rPr>
                <w:rFonts w:hint="eastAsia" w:ascii="宋体" w:hAnsi="宋体" w:cs="宋体"/>
                <w:sz w:val="18"/>
                <w:szCs w:val="18"/>
              </w:rPr>
              <w:t>流域相对高差（m）</w:t>
            </w:r>
          </w:p>
        </w:tc>
        <w:tc>
          <w:tcPr>
            <w:tcW w:w="2388" w:type="dxa"/>
            <w:vAlign w:val="center"/>
          </w:tcPr>
          <w:p w14:paraId="5066DF4C">
            <w:pPr>
              <w:spacing w:line="240" w:lineRule="auto"/>
              <w:jc w:val="center"/>
              <w:rPr>
                <w:rFonts w:ascii="宋体" w:hAnsi="宋体" w:cs="宋体"/>
                <w:sz w:val="18"/>
                <w:szCs w:val="18"/>
              </w:rPr>
            </w:pPr>
            <w:r>
              <w:rPr>
                <w:rFonts w:hint="eastAsia" w:ascii="宋体" w:hAnsi="宋体" w:cs="宋体"/>
                <w:sz w:val="18"/>
                <w:szCs w:val="18"/>
              </w:rPr>
              <w:t>＞500</w:t>
            </w:r>
          </w:p>
        </w:tc>
        <w:tc>
          <w:tcPr>
            <w:tcW w:w="575" w:type="dxa"/>
            <w:vAlign w:val="center"/>
          </w:tcPr>
          <w:p w14:paraId="159151AF">
            <w:pPr>
              <w:spacing w:line="240" w:lineRule="auto"/>
              <w:jc w:val="center"/>
              <w:rPr>
                <w:rFonts w:ascii="宋体" w:hAnsi="宋体" w:cs="宋体"/>
                <w:sz w:val="18"/>
                <w:szCs w:val="18"/>
              </w:rPr>
            </w:pPr>
            <w:r>
              <w:rPr>
                <w:rFonts w:hint="eastAsia" w:ascii="宋体" w:hAnsi="宋体" w:cs="宋体"/>
                <w:sz w:val="18"/>
                <w:szCs w:val="18"/>
              </w:rPr>
              <w:t>4</w:t>
            </w:r>
          </w:p>
        </w:tc>
        <w:tc>
          <w:tcPr>
            <w:tcW w:w="2147" w:type="dxa"/>
            <w:vAlign w:val="center"/>
          </w:tcPr>
          <w:p w14:paraId="02F76FB5">
            <w:pPr>
              <w:spacing w:line="240" w:lineRule="auto"/>
              <w:jc w:val="center"/>
              <w:rPr>
                <w:rFonts w:ascii="宋体" w:hAnsi="宋体" w:cs="宋体"/>
                <w:sz w:val="18"/>
                <w:szCs w:val="18"/>
              </w:rPr>
            </w:pPr>
            <w:r>
              <w:rPr>
                <w:rFonts w:hint="eastAsia" w:ascii="宋体" w:hAnsi="宋体" w:cs="宋体"/>
                <w:sz w:val="18"/>
                <w:szCs w:val="18"/>
              </w:rPr>
              <w:t>500</w:t>
            </w:r>
            <w:r>
              <w:rPr>
                <w:rFonts w:hint="eastAsia"/>
              </w:rPr>
              <w:t>～</w:t>
            </w:r>
            <w:r>
              <w:rPr>
                <w:rFonts w:hint="eastAsia" w:ascii="宋体" w:hAnsi="宋体" w:cs="宋体"/>
                <w:sz w:val="18"/>
                <w:szCs w:val="18"/>
              </w:rPr>
              <w:t>300</w:t>
            </w:r>
          </w:p>
        </w:tc>
        <w:tc>
          <w:tcPr>
            <w:tcW w:w="585" w:type="dxa"/>
            <w:vAlign w:val="center"/>
          </w:tcPr>
          <w:p w14:paraId="69853104">
            <w:pPr>
              <w:spacing w:line="240" w:lineRule="auto"/>
              <w:jc w:val="center"/>
              <w:rPr>
                <w:rFonts w:ascii="宋体" w:hAnsi="宋体" w:cs="宋体"/>
                <w:sz w:val="18"/>
                <w:szCs w:val="18"/>
              </w:rPr>
            </w:pPr>
            <w:r>
              <w:rPr>
                <w:rFonts w:hint="eastAsia" w:ascii="宋体" w:hAnsi="宋体" w:cs="宋体"/>
                <w:sz w:val="18"/>
                <w:szCs w:val="18"/>
              </w:rPr>
              <w:t>3</w:t>
            </w:r>
          </w:p>
        </w:tc>
        <w:tc>
          <w:tcPr>
            <w:tcW w:w="2156" w:type="dxa"/>
            <w:vAlign w:val="center"/>
          </w:tcPr>
          <w:p w14:paraId="35B6647C">
            <w:pPr>
              <w:spacing w:line="240" w:lineRule="auto"/>
              <w:jc w:val="center"/>
              <w:rPr>
                <w:rFonts w:ascii="宋体" w:hAnsi="宋体" w:cs="宋体"/>
                <w:sz w:val="18"/>
                <w:szCs w:val="18"/>
              </w:rPr>
            </w:pPr>
            <w:r>
              <w:rPr>
                <w:rFonts w:hint="eastAsia" w:ascii="宋体" w:hAnsi="宋体" w:cs="宋体"/>
                <w:sz w:val="18"/>
                <w:szCs w:val="18"/>
              </w:rPr>
              <w:t>300</w:t>
            </w:r>
            <w:r>
              <w:rPr>
                <w:rFonts w:hint="eastAsia"/>
              </w:rPr>
              <w:t>～</w:t>
            </w:r>
            <w:r>
              <w:rPr>
                <w:rFonts w:hint="eastAsia" w:ascii="宋体" w:hAnsi="宋体" w:cs="宋体"/>
                <w:sz w:val="18"/>
                <w:szCs w:val="18"/>
              </w:rPr>
              <w:t>100</w:t>
            </w:r>
          </w:p>
        </w:tc>
        <w:tc>
          <w:tcPr>
            <w:tcW w:w="719" w:type="dxa"/>
            <w:vAlign w:val="center"/>
          </w:tcPr>
          <w:p w14:paraId="3139C775">
            <w:pPr>
              <w:spacing w:line="240" w:lineRule="auto"/>
              <w:jc w:val="center"/>
              <w:rPr>
                <w:rFonts w:ascii="宋体" w:hAnsi="宋体" w:cs="宋体"/>
                <w:sz w:val="18"/>
                <w:szCs w:val="18"/>
              </w:rPr>
            </w:pPr>
            <w:r>
              <w:rPr>
                <w:rFonts w:hint="eastAsia" w:ascii="宋体" w:hAnsi="宋体" w:cs="宋体"/>
                <w:sz w:val="18"/>
                <w:szCs w:val="18"/>
              </w:rPr>
              <w:t>3</w:t>
            </w:r>
          </w:p>
        </w:tc>
        <w:tc>
          <w:tcPr>
            <w:tcW w:w="1725" w:type="dxa"/>
            <w:vAlign w:val="center"/>
          </w:tcPr>
          <w:p w14:paraId="10A5A840">
            <w:pPr>
              <w:spacing w:line="240" w:lineRule="auto"/>
              <w:jc w:val="center"/>
              <w:rPr>
                <w:rFonts w:ascii="宋体" w:hAnsi="宋体" w:cs="宋体"/>
                <w:sz w:val="18"/>
                <w:szCs w:val="18"/>
              </w:rPr>
            </w:pPr>
            <w:r>
              <w:rPr>
                <w:rFonts w:hint="eastAsia" w:ascii="宋体" w:hAnsi="宋体" w:cs="宋体"/>
                <w:sz w:val="18"/>
                <w:szCs w:val="18"/>
              </w:rPr>
              <w:t>＜100</w:t>
            </w:r>
          </w:p>
        </w:tc>
        <w:tc>
          <w:tcPr>
            <w:tcW w:w="626" w:type="dxa"/>
            <w:vAlign w:val="center"/>
          </w:tcPr>
          <w:p w14:paraId="3E34636F">
            <w:pPr>
              <w:spacing w:line="240" w:lineRule="auto"/>
              <w:jc w:val="center"/>
              <w:rPr>
                <w:rFonts w:ascii="宋体" w:hAnsi="宋体" w:cs="宋体"/>
                <w:sz w:val="18"/>
                <w:szCs w:val="18"/>
              </w:rPr>
            </w:pPr>
            <w:r>
              <w:rPr>
                <w:rFonts w:hint="eastAsia" w:ascii="宋体" w:hAnsi="宋体" w:cs="宋体"/>
                <w:sz w:val="18"/>
                <w:szCs w:val="18"/>
              </w:rPr>
              <w:t>1</w:t>
            </w:r>
          </w:p>
        </w:tc>
      </w:tr>
      <w:tr w14:paraId="7FFF1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46" w:type="dxa"/>
            <w:vAlign w:val="center"/>
          </w:tcPr>
          <w:p w14:paraId="38191088">
            <w:pPr>
              <w:spacing w:line="240" w:lineRule="auto"/>
              <w:jc w:val="center"/>
              <w:rPr>
                <w:rFonts w:ascii="宋体" w:hAnsi="宋体" w:cs="宋体"/>
                <w:sz w:val="18"/>
                <w:szCs w:val="18"/>
              </w:rPr>
            </w:pPr>
            <w:r>
              <w:rPr>
                <w:rFonts w:hint="eastAsia" w:ascii="宋体" w:hAnsi="宋体" w:cs="宋体"/>
                <w:sz w:val="18"/>
                <w:szCs w:val="18"/>
              </w:rPr>
              <w:t>15</w:t>
            </w:r>
          </w:p>
        </w:tc>
        <w:tc>
          <w:tcPr>
            <w:tcW w:w="2473" w:type="dxa"/>
            <w:vAlign w:val="center"/>
          </w:tcPr>
          <w:p w14:paraId="349C0673">
            <w:pPr>
              <w:spacing w:line="240" w:lineRule="auto"/>
              <w:jc w:val="center"/>
              <w:rPr>
                <w:rFonts w:ascii="宋体" w:hAnsi="宋体" w:cs="宋体"/>
                <w:sz w:val="18"/>
                <w:szCs w:val="18"/>
              </w:rPr>
            </w:pPr>
            <w:r>
              <w:rPr>
                <w:rFonts w:hint="eastAsia" w:ascii="宋体" w:hAnsi="宋体" w:cs="宋体"/>
                <w:sz w:val="18"/>
                <w:szCs w:val="18"/>
              </w:rPr>
              <w:t>河沟堵塞程度</w:t>
            </w:r>
          </w:p>
        </w:tc>
        <w:tc>
          <w:tcPr>
            <w:tcW w:w="2388" w:type="dxa"/>
            <w:vAlign w:val="center"/>
          </w:tcPr>
          <w:p w14:paraId="60B049D5">
            <w:pPr>
              <w:spacing w:line="240" w:lineRule="auto"/>
              <w:jc w:val="center"/>
              <w:rPr>
                <w:rFonts w:ascii="宋体" w:hAnsi="宋体" w:cs="宋体"/>
                <w:sz w:val="18"/>
                <w:szCs w:val="18"/>
              </w:rPr>
            </w:pPr>
            <w:r>
              <w:rPr>
                <w:rFonts w:hint="eastAsia" w:ascii="宋体" w:hAnsi="宋体" w:cs="宋体"/>
                <w:sz w:val="18"/>
                <w:szCs w:val="18"/>
              </w:rPr>
              <w:t>严重</w:t>
            </w:r>
          </w:p>
        </w:tc>
        <w:tc>
          <w:tcPr>
            <w:tcW w:w="575" w:type="dxa"/>
            <w:vAlign w:val="center"/>
          </w:tcPr>
          <w:p w14:paraId="660D6B56">
            <w:pPr>
              <w:spacing w:line="240" w:lineRule="auto"/>
              <w:jc w:val="center"/>
              <w:rPr>
                <w:rFonts w:ascii="宋体" w:hAnsi="宋体" w:cs="宋体"/>
                <w:sz w:val="18"/>
                <w:szCs w:val="18"/>
              </w:rPr>
            </w:pPr>
            <w:r>
              <w:rPr>
                <w:rFonts w:hint="eastAsia" w:ascii="宋体" w:hAnsi="宋体" w:cs="宋体"/>
                <w:sz w:val="18"/>
                <w:szCs w:val="18"/>
              </w:rPr>
              <w:t>4</w:t>
            </w:r>
          </w:p>
        </w:tc>
        <w:tc>
          <w:tcPr>
            <w:tcW w:w="2147" w:type="dxa"/>
            <w:vAlign w:val="center"/>
          </w:tcPr>
          <w:p w14:paraId="2BDB9EDB">
            <w:pPr>
              <w:spacing w:line="240" w:lineRule="auto"/>
              <w:jc w:val="center"/>
              <w:rPr>
                <w:rFonts w:ascii="宋体" w:hAnsi="宋体" w:cs="宋体"/>
                <w:sz w:val="18"/>
                <w:szCs w:val="18"/>
              </w:rPr>
            </w:pPr>
            <w:r>
              <w:rPr>
                <w:rFonts w:hint="eastAsia" w:ascii="宋体" w:hAnsi="宋体" w:cs="宋体"/>
                <w:sz w:val="18"/>
                <w:szCs w:val="18"/>
              </w:rPr>
              <w:t>中等</w:t>
            </w:r>
          </w:p>
        </w:tc>
        <w:tc>
          <w:tcPr>
            <w:tcW w:w="585" w:type="dxa"/>
            <w:vAlign w:val="center"/>
          </w:tcPr>
          <w:p w14:paraId="2369FE85">
            <w:pPr>
              <w:spacing w:line="240" w:lineRule="auto"/>
              <w:jc w:val="center"/>
              <w:rPr>
                <w:rFonts w:ascii="宋体" w:hAnsi="宋体" w:cs="宋体"/>
                <w:sz w:val="18"/>
                <w:szCs w:val="18"/>
              </w:rPr>
            </w:pPr>
            <w:r>
              <w:rPr>
                <w:rFonts w:hint="eastAsia" w:ascii="宋体" w:hAnsi="宋体" w:cs="宋体"/>
                <w:sz w:val="18"/>
                <w:szCs w:val="18"/>
              </w:rPr>
              <w:t>3</w:t>
            </w:r>
          </w:p>
        </w:tc>
        <w:tc>
          <w:tcPr>
            <w:tcW w:w="2156" w:type="dxa"/>
            <w:vAlign w:val="center"/>
          </w:tcPr>
          <w:p w14:paraId="3455E851">
            <w:pPr>
              <w:spacing w:line="240" w:lineRule="auto"/>
              <w:jc w:val="center"/>
              <w:rPr>
                <w:rFonts w:ascii="宋体" w:hAnsi="宋体" w:cs="宋体"/>
                <w:sz w:val="18"/>
                <w:szCs w:val="18"/>
              </w:rPr>
            </w:pPr>
            <w:r>
              <w:rPr>
                <w:rFonts w:hint="eastAsia" w:ascii="宋体" w:hAnsi="宋体" w:cs="宋体"/>
                <w:sz w:val="18"/>
                <w:szCs w:val="18"/>
              </w:rPr>
              <w:t>轻微</w:t>
            </w:r>
          </w:p>
        </w:tc>
        <w:tc>
          <w:tcPr>
            <w:tcW w:w="719" w:type="dxa"/>
            <w:vAlign w:val="center"/>
          </w:tcPr>
          <w:p w14:paraId="5EBE4783">
            <w:pPr>
              <w:spacing w:line="240" w:lineRule="auto"/>
              <w:jc w:val="center"/>
              <w:rPr>
                <w:rFonts w:ascii="宋体" w:hAnsi="宋体" w:cs="宋体"/>
                <w:sz w:val="18"/>
                <w:szCs w:val="18"/>
              </w:rPr>
            </w:pPr>
            <w:r>
              <w:rPr>
                <w:rFonts w:hint="eastAsia" w:ascii="宋体" w:hAnsi="宋体" w:cs="宋体"/>
                <w:sz w:val="18"/>
                <w:szCs w:val="18"/>
              </w:rPr>
              <w:t>2</w:t>
            </w:r>
          </w:p>
        </w:tc>
        <w:tc>
          <w:tcPr>
            <w:tcW w:w="1725" w:type="dxa"/>
            <w:vAlign w:val="center"/>
          </w:tcPr>
          <w:p w14:paraId="44CA4F7F">
            <w:pPr>
              <w:spacing w:line="240" w:lineRule="auto"/>
              <w:jc w:val="center"/>
              <w:rPr>
                <w:rFonts w:ascii="宋体" w:hAnsi="宋体" w:cs="宋体"/>
                <w:sz w:val="18"/>
                <w:szCs w:val="18"/>
              </w:rPr>
            </w:pPr>
            <w:r>
              <w:rPr>
                <w:rFonts w:hint="eastAsia" w:ascii="宋体" w:hAnsi="宋体" w:cs="宋体"/>
                <w:sz w:val="18"/>
                <w:szCs w:val="18"/>
              </w:rPr>
              <w:t>无堵塞</w:t>
            </w:r>
          </w:p>
        </w:tc>
        <w:tc>
          <w:tcPr>
            <w:tcW w:w="626" w:type="dxa"/>
            <w:vAlign w:val="center"/>
          </w:tcPr>
          <w:p w14:paraId="20588BFD">
            <w:pPr>
              <w:spacing w:line="240" w:lineRule="auto"/>
              <w:jc w:val="center"/>
              <w:rPr>
                <w:rFonts w:ascii="宋体" w:hAnsi="宋体" w:cs="宋体"/>
                <w:sz w:val="18"/>
                <w:szCs w:val="18"/>
              </w:rPr>
            </w:pPr>
            <w:r>
              <w:rPr>
                <w:rFonts w:hint="eastAsia" w:ascii="宋体" w:hAnsi="宋体" w:cs="宋体"/>
                <w:sz w:val="18"/>
                <w:szCs w:val="18"/>
              </w:rPr>
              <w:t>1</w:t>
            </w:r>
          </w:p>
        </w:tc>
      </w:tr>
      <w:tr w14:paraId="2293D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13940" w:type="dxa"/>
            <w:gridSpan w:val="10"/>
            <w:vAlign w:val="center"/>
          </w:tcPr>
          <w:p w14:paraId="78E27448">
            <w:pPr>
              <w:pStyle w:val="181"/>
              <w:rPr>
                <w:rFonts w:hAnsi="宋体" w:cs="宋体"/>
              </w:rPr>
            </w:pPr>
            <w:r>
              <w:rPr>
                <w:rFonts w:hint="eastAsia" w:hAnsi="宋体" w:cs="宋体"/>
              </w:rPr>
              <w:t>建议根据得分划分为高易发（116～130），中易发（87～115），低易发（44～86），不易发（15～43）。</w:t>
            </w:r>
          </w:p>
        </w:tc>
      </w:tr>
      <w:bookmarkEnd w:id="337"/>
    </w:tbl>
    <w:p w14:paraId="0EA2BE96">
      <w:pPr>
        <w:pStyle w:val="58"/>
        <w:ind w:firstLine="420"/>
        <w:sectPr>
          <w:headerReference r:id="rId22" w:type="default"/>
          <w:footerReference r:id="rId24" w:type="default"/>
          <w:headerReference r:id="rId23" w:type="even"/>
          <w:footerReference r:id="rId25" w:type="even"/>
          <w:pgSz w:w="16838" w:h="11906" w:orient="landscape"/>
          <w:pgMar w:top="1134" w:right="1871" w:bottom="1134" w:left="1134" w:header="1418" w:footer="1247" w:gutter="284"/>
          <w:cols w:space="425" w:num="1"/>
          <w:formProt w:val="0"/>
          <w:docGrid w:type="lines" w:linePitch="312" w:charSpace="0"/>
        </w:sectPr>
      </w:pPr>
    </w:p>
    <w:p w14:paraId="28FC81FE">
      <w:pPr>
        <w:pStyle w:val="81"/>
        <w:spacing w:before="156" w:after="156"/>
      </w:pPr>
      <w:bookmarkStart w:id="338" w:name="_Toc176194178"/>
      <w:bookmarkStart w:id="339" w:name="_Toc178172382"/>
      <w:r>
        <w:rPr>
          <w:rFonts w:hint="eastAsia"/>
        </w:rPr>
        <w:t>地面塌陷易发性评价</w:t>
      </w:r>
      <w:bookmarkEnd w:id="338"/>
      <w:bookmarkEnd w:id="339"/>
    </w:p>
    <w:p w14:paraId="7A13B859">
      <w:pPr>
        <w:pStyle w:val="58"/>
        <w:ind w:firstLine="420"/>
      </w:pPr>
      <w:r>
        <w:rPr>
          <w:rFonts w:hint="eastAsia"/>
        </w:rPr>
        <w:t>地面易发性评价宜选取但不限于表</w:t>
      </w:r>
      <w:r>
        <w:t>I.3</w:t>
      </w:r>
      <w:r>
        <w:rPr>
          <w:rFonts w:hint="eastAsia"/>
        </w:rPr>
        <w:t>、表</w:t>
      </w:r>
      <w:r>
        <w:t>I.5</w:t>
      </w:r>
      <w:r>
        <w:rPr>
          <w:rFonts w:hint="eastAsia"/>
        </w:rPr>
        <w:t>所列指标，非可溶岩地层或地下开采分布区确定为不易发等级。</w:t>
      </w:r>
    </w:p>
    <w:p w14:paraId="3D740F8F">
      <w:pPr>
        <w:pStyle w:val="79"/>
        <w:spacing w:before="156" w:after="156"/>
      </w:pPr>
      <w:r>
        <w:rPr>
          <w:rFonts w:hint="eastAsia" w:ascii="Times New Roman"/>
          <w:szCs w:val="21"/>
        </w:rPr>
        <w:t>岩溶塌陷</w:t>
      </w:r>
      <w:r>
        <w:rPr>
          <w:rFonts w:ascii="Times New Roman"/>
          <w:szCs w:val="21"/>
        </w:rPr>
        <w:t>易发性</w:t>
      </w:r>
      <w:r>
        <w:rPr>
          <w:rFonts w:hint="eastAsia" w:ascii="Times New Roman"/>
          <w:szCs w:val="21"/>
        </w:rPr>
        <w:t>评价指标</w:t>
      </w:r>
      <w:r>
        <w:rPr>
          <w:rFonts w:ascii="Times New Roman"/>
          <w:szCs w:val="21"/>
        </w:rPr>
        <w:t>选取参考表</w:t>
      </w:r>
    </w:p>
    <w:tbl>
      <w:tblPr>
        <w:tblStyle w:val="29"/>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08"/>
        <w:gridCol w:w="1145"/>
        <w:gridCol w:w="2626"/>
        <w:gridCol w:w="2672"/>
        <w:gridCol w:w="2120"/>
      </w:tblGrid>
      <w:tr w14:paraId="74409C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tblHeader/>
          <w:jc w:val="center"/>
        </w:trPr>
        <w:tc>
          <w:tcPr>
            <w:tcW w:w="431" w:type="pct"/>
            <w:vMerge w:val="restart"/>
            <w:tcBorders>
              <w:top w:val="single" w:color="auto" w:sz="8" w:space="0"/>
            </w:tcBorders>
            <w:shd w:val="clear" w:color="auto" w:fill="auto"/>
            <w:vAlign w:val="center"/>
          </w:tcPr>
          <w:p w14:paraId="63934379">
            <w:pPr>
              <w:pStyle w:val="180"/>
            </w:pPr>
            <w:r>
              <w:rPr>
                <w:rFonts w:hint="eastAsia"/>
              </w:rPr>
              <w:t>序号</w:t>
            </w:r>
          </w:p>
        </w:tc>
        <w:tc>
          <w:tcPr>
            <w:tcW w:w="4569" w:type="pct"/>
            <w:gridSpan w:val="4"/>
            <w:tcBorders>
              <w:top w:val="single" w:color="auto" w:sz="8" w:space="0"/>
              <w:bottom w:val="single" w:color="auto" w:sz="8" w:space="0"/>
            </w:tcBorders>
            <w:shd w:val="clear" w:color="auto" w:fill="auto"/>
            <w:vAlign w:val="center"/>
          </w:tcPr>
          <w:p w14:paraId="23905CB0">
            <w:pPr>
              <w:pStyle w:val="180"/>
            </w:pPr>
            <w:r>
              <w:rPr>
                <w:rFonts w:hint="eastAsia"/>
              </w:rPr>
              <w:t>指标类型</w:t>
            </w:r>
          </w:p>
        </w:tc>
      </w:tr>
      <w:tr w14:paraId="1E563D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6DC8C49C">
            <w:pPr>
              <w:pStyle w:val="180"/>
            </w:pPr>
          </w:p>
        </w:tc>
        <w:tc>
          <w:tcPr>
            <w:tcW w:w="611" w:type="pct"/>
            <w:tcBorders>
              <w:top w:val="single" w:color="auto" w:sz="8" w:space="0"/>
            </w:tcBorders>
            <w:shd w:val="clear" w:color="auto" w:fill="auto"/>
            <w:vAlign w:val="center"/>
          </w:tcPr>
          <w:p w14:paraId="4A2B946D">
            <w:pPr>
              <w:pStyle w:val="180"/>
              <w:rPr>
                <w:szCs w:val="22"/>
              </w:rPr>
            </w:pPr>
            <w:r>
              <w:rPr>
                <w:rFonts w:hint="eastAsia"/>
                <w:szCs w:val="22"/>
              </w:rPr>
              <w:t>一级指标</w:t>
            </w:r>
          </w:p>
        </w:tc>
        <w:tc>
          <w:tcPr>
            <w:tcW w:w="1401" w:type="pct"/>
            <w:tcBorders>
              <w:top w:val="single" w:color="auto" w:sz="8" w:space="0"/>
            </w:tcBorders>
            <w:shd w:val="clear" w:color="auto" w:fill="auto"/>
            <w:vAlign w:val="center"/>
          </w:tcPr>
          <w:p w14:paraId="04E9E7E7">
            <w:pPr>
              <w:pStyle w:val="180"/>
              <w:rPr>
                <w:szCs w:val="22"/>
              </w:rPr>
            </w:pPr>
            <w:r>
              <w:rPr>
                <w:rFonts w:hint="eastAsia"/>
                <w:szCs w:val="22"/>
              </w:rPr>
              <w:t>二级指标</w:t>
            </w:r>
          </w:p>
        </w:tc>
        <w:tc>
          <w:tcPr>
            <w:tcW w:w="1426" w:type="pct"/>
            <w:tcBorders>
              <w:top w:val="single" w:color="auto" w:sz="8" w:space="0"/>
            </w:tcBorders>
            <w:shd w:val="clear" w:color="auto" w:fill="auto"/>
            <w:vAlign w:val="center"/>
          </w:tcPr>
          <w:p w14:paraId="1C723547">
            <w:pPr>
              <w:pStyle w:val="180"/>
              <w:rPr>
                <w:szCs w:val="22"/>
              </w:rPr>
            </w:pPr>
            <w:r>
              <w:rPr>
                <w:rFonts w:hint="eastAsia"/>
                <w:szCs w:val="22"/>
              </w:rPr>
              <w:t>三级指标</w:t>
            </w:r>
          </w:p>
        </w:tc>
        <w:tc>
          <w:tcPr>
            <w:tcW w:w="1131" w:type="pct"/>
            <w:tcBorders>
              <w:top w:val="single" w:color="auto" w:sz="8" w:space="0"/>
            </w:tcBorders>
          </w:tcPr>
          <w:p w14:paraId="6472ACA6">
            <w:pPr>
              <w:pStyle w:val="180"/>
              <w:rPr>
                <w:szCs w:val="22"/>
              </w:rPr>
            </w:pPr>
            <w:r>
              <w:rPr>
                <w:rFonts w:hint="eastAsia"/>
                <w:szCs w:val="22"/>
              </w:rPr>
              <w:t>取值</w:t>
            </w:r>
          </w:p>
        </w:tc>
      </w:tr>
      <w:tr w14:paraId="648170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6D848E4F">
            <w:pPr>
              <w:spacing w:line="240" w:lineRule="auto"/>
              <w:jc w:val="center"/>
              <w:rPr>
                <w:rFonts w:ascii="宋体" w:hAnsi="Times New Roman"/>
                <w:kern w:val="0"/>
                <w:sz w:val="18"/>
                <w:szCs w:val="22"/>
              </w:rPr>
            </w:pPr>
            <w:r>
              <w:rPr>
                <w:rFonts w:hint="eastAsia" w:ascii="宋体" w:hAnsi="Times New Roman"/>
                <w:kern w:val="0"/>
                <w:sz w:val="18"/>
                <w:szCs w:val="22"/>
              </w:rPr>
              <w:t>1</w:t>
            </w:r>
          </w:p>
        </w:tc>
        <w:tc>
          <w:tcPr>
            <w:tcW w:w="611" w:type="pct"/>
            <w:vMerge w:val="restart"/>
            <w:shd w:val="clear" w:color="auto" w:fill="auto"/>
            <w:vAlign w:val="center"/>
          </w:tcPr>
          <w:p w14:paraId="1154541A">
            <w:pPr>
              <w:spacing w:line="240" w:lineRule="auto"/>
              <w:jc w:val="center"/>
              <w:rPr>
                <w:rFonts w:ascii="宋体" w:hAnsi="Times New Roman"/>
                <w:kern w:val="0"/>
                <w:sz w:val="18"/>
                <w:szCs w:val="22"/>
              </w:rPr>
            </w:pPr>
            <w:r>
              <w:rPr>
                <w:rFonts w:hint="eastAsia" w:ascii="宋体" w:hAnsi="Times New Roman"/>
                <w:kern w:val="0"/>
                <w:sz w:val="18"/>
                <w:szCs w:val="22"/>
                <w:lang w:eastAsia="en-US"/>
              </w:rPr>
              <w:t>基岩</w:t>
            </w:r>
            <w:r>
              <w:rPr>
                <w:rFonts w:hint="eastAsia" w:ascii="宋体" w:hAnsi="Times New Roman"/>
                <w:kern w:val="0"/>
                <w:sz w:val="18"/>
                <w:szCs w:val="22"/>
              </w:rPr>
              <w:t>特征</w:t>
            </w:r>
          </w:p>
        </w:tc>
        <w:tc>
          <w:tcPr>
            <w:tcW w:w="1401" w:type="pct"/>
            <w:vMerge w:val="restart"/>
            <w:shd w:val="clear" w:color="auto" w:fill="auto"/>
            <w:vAlign w:val="center"/>
          </w:tcPr>
          <w:p w14:paraId="6B2B3665">
            <w:pPr>
              <w:spacing w:line="240" w:lineRule="auto"/>
              <w:jc w:val="center"/>
              <w:rPr>
                <w:rFonts w:ascii="宋体" w:hAnsi="Times New Roman"/>
                <w:kern w:val="0"/>
                <w:sz w:val="18"/>
                <w:szCs w:val="22"/>
              </w:rPr>
            </w:pPr>
            <w:r>
              <w:rPr>
                <w:rFonts w:hint="eastAsia" w:ascii="宋体" w:hAnsi="Times New Roman"/>
                <w:kern w:val="0"/>
                <w:sz w:val="18"/>
                <w:szCs w:val="22"/>
                <w:lang w:eastAsia="en-US"/>
              </w:rPr>
              <w:t>岩溶发育程度</w:t>
            </w:r>
          </w:p>
        </w:tc>
        <w:tc>
          <w:tcPr>
            <w:tcW w:w="1426" w:type="pct"/>
            <w:shd w:val="clear" w:color="auto" w:fill="auto"/>
            <w:vAlign w:val="center"/>
          </w:tcPr>
          <w:p w14:paraId="73D2AF6F">
            <w:pPr>
              <w:pStyle w:val="180"/>
              <w:rPr>
                <w:szCs w:val="22"/>
              </w:rPr>
            </w:pPr>
            <w:r>
              <w:rPr>
                <w:rFonts w:hint="eastAsia"/>
                <w:szCs w:val="22"/>
              </w:rPr>
              <w:t>强</w:t>
            </w:r>
            <w:r>
              <w:rPr>
                <w:szCs w:val="22"/>
              </w:rPr>
              <w:t>发育</w:t>
            </w:r>
          </w:p>
        </w:tc>
        <w:tc>
          <w:tcPr>
            <w:tcW w:w="1131" w:type="pct"/>
          </w:tcPr>
          <w:p w14:paraId="74A12125">
            <w:pPr>
              <w:pStyle w:val="180"/>
              <w:rPr>
                <w:szCs w:val="22"/>
              </w:rPr>
            </w:pPr>
            <w:r>
              <w:rPr>
                <w:rFonts w:hint="eastAsia" w:hAnsi="宋体"/>
                <w:szCs w:val="18"/>
              </w:rPr>
              <w:t>5</w:t>
            </w:r>
          </w:p>
        </w:tc>
      </w:tr>
      <w:tr w14:paraId="7E47EC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54D79C8E">
            <w:pPr>
              <w:pStyle w:val="180"/>
              <w:rPr>
                <w:szCs w:val="22"/>
              </w:rPr>
            </w:pPr>
          </w:p>
        </w:tc>
        <w:tc>
          <w:tcPr>
            <w:tcW w:w="611" w:type="pct"/>
            <w:vMerge w:val="continue"/>
            <w:shd w:val="clear" w:color="auto" w:fill="auto"/>
            <w:vAlign w:val="center"/>
          </w:tcPr>
          <w:p w14:paraId="6E9DD1D8">
            <w:pPr>
              <w:pStyle w:val="180"/>
              <w:rPr>
                <w:szCs w:val="22"/>
              </w:rPr>
            </w:pPr>
          </w:p>
        </w:tc>
        <w:tc>
          <w:tcPr>
            <w:tcW w:w="1401" w:type="pct"/>
            <w:vMerge w:val="continue"/>
            <w:shd w:val="clear" w:color="auto" w:fill="auto"/>
            <w:vAlign w:val="center"/>
          </w:tcPr>
          <w:p w14:paraId="378838A4">
            <w:pPr>
              <w:pStyle w:val="180"/>
              <w:rPr>
                <w:szCs w:val="22"/>
              </w:rPr>
            </w:pPr>
          </w:p>
        </w:tc>
        <w:tc>
          <w:tcPr>
            <w:tcW w:w="1426" w:type="pct"/>
            <w:shd w:val="clear" w:color="auto" w:fill="auto"/>
            <w:vAlign w:val="center"/>
          </w:tcPr>
          <w:p w14:paraId="7FF1B814">
            <w:pPr>
              <w:pStyle w:val="180"/>
              <w:rPr>
                <w:szCs w:val="22"/>
              </w:rPr>
            </w:pPr>
            <w:r>
              <w:rPr>
                <w:rFonts w:hint="eastAsia"/>
                <w:szCs w:val="22"/>
              </w:rPr>
              <w:t>中</w:t>
            </w:r>
            <w:r>
              <w:rPr>
                <w:szCs w:val="22"/>
              </w:rPr>
              <w:t>发育</w:t>
            </w:r>
          </w:p>
        </w:tc>
        <w:tc>
          <w:tcPr>
            <w:tcW w:w="1131" w:type="pct"/>
          </w:tcPr>
          <w:p w14:paraId="772FC28F">
            <w:pPr>
              <w:pStyle w:val="180"/>
              <w:rPr>
                <w:szCs w:val="22"/>
              </w:rPr>
            </w:pPr>
            <w:r>
              <w:rPr>
                <w:rFonts w:hint="eastAsia" w:hAnsi="宋体"/>
                <w:szCs w:val="18"/>
              </w:rPr>
              <w:t>3</w:t>
            </w:r>
          </w:p>
        </w:tc>
      </w:tr>
      <w:tr w14:paraId="594C86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2842EAAD">
            <w:pPr>
              <w:pStyle w:val="180"/>
              <w:rPr>
                <w:szCs w:val="22"/>
              </w:rPr>
            </w:pPr>
          </w:p>
        </w:tc>
        <w:tc>
          <w:tcPr>
            <w:tcW w:w="611" w:type="pct"/>
            <w:vMerge w:val="continue"/>
            <w:shd w:val="clear" w:color="auto" w:fill="auto"/>
            <w:vAlign w:val="center"/>
          </w:tcPr>
          <w:p w14:paraId="2A31A852">
            <w:pPr>
              <w:pStyle w:val="180"/>
              <w:rPr>
                <w:szCs w:val="22"/>
              </w:rPr>
            </w:pPr>
          </w:p>
        </w:tc>
        <w:tc>
          <w:tcPr>
            <w:tcW w:w="1401" w:type="pct"/>
            <w:vMerge w:val="continue"/>
            <w:shd w:val="clear" w:color="auto" w:fill="auto"/>
            <w:vAlign w:val="center"/>
          </w:tcPr>
          <w:p w14:paraId="4E13117A">
            <w:pPr>
              <w:pStyle w:val="180"/>
              <w:rPr>
                <w:szCs w:val="22"/>
              </w:rPr>
            </w:pPr>
          </w:p>
        </w:tc>
        <w:tc>
          <w:tcPr>
            <w:tcW w:w="1426" w:type="pct"/>
            <w:shd w:val="clear" w:color="auto" w:fill="auto"/>
            <w:vAlign w:val="center"/>
          </w:tcPr>
          <w:p w14:paraId="4C925E4B">
            <w:pPr>
              <w:pStyle w:val="180"/>
              <w:rPr>
                <w:szCs w:val="22"/>
              </w:rPr>
            </w:pPr>
            <w:r>
              <w:rPr>
                <w:rFonts w:hint="eastAsia"/>
                <w:szCs w:val="22"/>
              </w:rPr>
              <w:t>弱</w:t>
            </w:r>
            <w:r>
              <w:rPr>
                <w:szCs w:val="22"/>
              </w:rPr>
              <w:t>发育</w:t>
            </w:r>
          </w:p>
        </w:tc>
        <w:tc>
          <w:tcPr>
            <w:tcW w:w="1131" w:type="pct"/>
          </w:tcPr>
          <w:p w14:paraId="26384F72">
            <w:pPr>
              <w:pStyle w:val="180"/>
              <w:rPr>
                <w:szCs w:val="22"/>
              </w:rPr>
            </w:pPr>
            <w:r>
              <w:rPr>
                <w:rFonts w:hint="eastAsia" w:hAnsi="宋体"/>
                <w:szCs w:val="18"/>
              </w:rPr>
              <w:t>1</w:t>
            </w:r>
          </w:p>
        </w:tc>
      </w:tr>
      <w:tr w14:paraId="3E6778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67E3185C">
            <w:pPr>
              <w:spacing w:line="240" w:lineRule="auto"/>
              <w:jc w:val="center"/>
              <w:rPr>
                <w:rFonts w:ascii="宋体" w:hAnsi="Times New Roman"/>
                <w:kern w:val="0"/>
                <w:sz w:val="18"/>
                <w:szCs w:val="22"/>
              </w:rPr>
            </w:pPr>
            <w:r>
              <w:rPr>
                <w:rFonts w:hint="eastAsia" w:ascii="宋体" w:hAnsi="Times New Roman"/>
                <w:kern w:val="0"/>
                <w:sz w:val="18"/>
                <w:szCs w:val="22"/>
              </w:rPr>
              <w:t>2</w:t>
            </w:r>
          </w:p>
        </w:tc>
        <w:tc>
          <w:tcPr>
            <w:tcW w:w="611" w:type="pct"/>
            <w:vMerge w:val="continue"/>
            <w:shd w:val="clear" w:color="auto" w:fill="auto"/>
            <w:vAlign w:val="center"/>
          </w:tcPr>
          <w:p w14:paraId="0E2A5EB6">
            <w:pPr>
              <w:spacing w:line="240" w:lineRule="auto"/>
              <w:jc w:val="center"/>
              <w:rPr>
                <w:rFonts w:ascii="宋体" w:hAnsi="Times New Roman"/>
                <w:kern w:val="0"/>
                <w:sz w:val="18"/>
                <w:szCs w:val="22"/>
              </w:rPr>
            </w:pPr>
          </w:p>
        </w:tc>
        <w:tc>
          <w:tcPr>
            <w:tcW w:w="1401" w:type="pct"/>
            <w:vMerge w:val="restart"/>
            <w:shd w:val="clear" w:color="auto" w:fill="auto"/>
            <w:vAlign w:val="center"/>
          </w:tcPr>
          <w:p w14:paraId="0A802511">
            <w:pPr>
              <w:spacing w:line="240" w:lineRule="auto"/>
              <w:jc w:val="center"/>
              <w:rPr>
                <w:rFonts w:ascii="宋体" w:hAnsi="Times New Roman"/>
                <w:kern w:val="0"/>
                <w:sz w:val="18"/>
                <w:szCs w:val="22"/>
              </w:rPr>
            </w:pPr>
            <w:r>
              <w:rPr>
                <w:rFonts w:hint="eastAsia" w:ascii="宋体" w:hAnsi="Times New Roman"/>
                <w:kern w:val="0"/>
                <w:sz w:val="18"/>
                <w:szCs w:val="22"/>
              </w:rPr>
              <w:t>非可溶岩地层厚度（m）</w:t>
            </w:r>
          </w:p>
        </w:tc>
        <w:tc>
          <w:tcPr>
            <w:tcW w:w="1426" w:type="pct"/>
            <w:shd w:val="clear" w:color="auto" w:fill="auto"/>
            <w:vAlign w:val="center"/>
          </w:tcPr>
          <w:p w14:paraId="711AB272">
            <w:pPr>
              <w:pStyle w:val="180"/>
              <w:rPr>
                <w:szCs w:val="22"/>
              </w:rPr>
            </w:pPr>
            <w:r>
              <w:rPr>
                <w:rFonts w:hint="eastAsia"/>
                <w:szCs w:val="22"/>
              </w:rPr>
              <w:t>≤</w:t>
            </w:r>
            <w:r>
              <w:rPr>
                <w:szCs w:val="22"/>
                <w:lang w:eastAsia="en-US"/>
              </w:rPr>
              <w:t>10</w:t>
            </w:r>
          </w:p>
        </w:tc>
        <w:tc>
          <w:tcPr>
            <w:tcW w:w="1131" w:type="pct"/>
          </w:tcPr>
          <w:p w14:paraId="283CC53D">
            <w:pPr>
              <w:pStyle w:val="180"/>
              <w:rPr>
                <w:szCs w:val="22"/>
              </w:rPr>
            </w:pPr>
            <w:r>
              <w:rPr>
                <w:rFonts w:hint="eastAsia" w:hAnsi="宋体"/>
                <w:szCs w:val="18"/>
              </w:rPr>
              <w:t>5</w:t>
            </w:r>
          </w:p>
        </w:tc>
      </w:tr>
      <w:tr w14:paraId="76D1B0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22876B79">
            <w:pPr>
              <w:pStyle w:val="180"/>
            </w:pPr>
          </w:p>
        </w:tc>
        <w:tc>
          <w:tcPr>
            <w:tcW w:w="611" w:type="pct"/>
            <w:vMerge w:val="continue"/>
            <w:shd w:val="clear" w:color="auto" w:fill="auto"/>
            <w:vAlign w:val="center"/>
          </w:tcPr>
          <w:p w14:paraId="4032BCAD">
            <w:pPr>
              <w:pStyle w:val="180"/>
            </w:pPr>
          </w:p>
        </w:tc>
        <w:tc>
          <w:tcPr>
            <w:tcW w:w="1401" w:type="pct"/>
            <w:vMerge w:val="continue"/>
            <w:shd w:val="clear" w:color="auto" w:fill="auto"/>
            <w:vAlign w:val="center"/>
          </w:tcPr>
          <w:p w14:paraId="757D09C4">
            <w:pPr>
              <w:pStyle w:val="180"/>
              <w:rPr>
                <w:szCs w:val="22"/>
                <w:lang w:eastAsia="en-US"/>
              </w:rPr>
            </w:pPr>
          </w:p>
        </w:tc>
        <w:tc>
          <w:tcPr>
            <w:tcW w:w="1426" w:type="pct"/>
            <w:shd w:val="clear" w:color="auto" w:fill="auto"/>
            <w:vAlign w:val="center"/>
          </w:tcPr>
          <w:p w14:paraId="58ECAAFF">
            <w:pPr>
              <w:pStyle w:val="180"/>
              <w:rPr>
                <w:szCs w:val="22"/>
              </w:rPr>
            </w:pPr>
            <w:r>
              <w:rPr>
                <w:szCs w:val="22"/>
                <w:lang w:eastAsia="en-US"/>
              </w:rPr>
              <w:t>10～30</w:t>
            </w:r>
          </w:p>
        </w:tc>
        <w:tc>
          <w:tcPr>
            <w:tcW w:w="1131" w:type="pct"/>
          </w:tcPr>
          <w:p w14:paraId="0A68F027">
            <w:pPr>
              <w:pStyle w:val="180"/>
              <w:rPr>
                <w:szCs w:val="22"/>
                <w:lang w:eastAsia="en-US"/>
              </w:rPr>
            </w:pPr>
            <w:r>
              <w:rPr>
                <w:rFonts w:hint="eastAsia" w:hAnsi="宋体"/>
                <w:szCs w:val="18"/>
              </w:rPr>
              <w:t>3</w:t>
            </w:r>
          </w:p>
        </w:tc>
      </w:tr>
      <w:tr w14:paraId="775D6C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6577AD5D">
            <w:pPr>
              <w:pStyle w:val="180"/>
            </w:pPr>
          </w:p>
        </w:tc>
        <w:tc>
          <w:tcPr>
            <w:tcW w:w="611" w:type="pct"/>
            <w:vMerge w:val="continue"/>
            <w:shd w:val="clear" w:color="auto" w:fill="auto"/>
            <w:vAlign w:val="center"/>
          </w:tcPr>
          <w:p w14:paraId="3B42B85B">
            <w:pPr>
              <w:pStyle w:val="180"/>
            </w:pPr>
          </w:p>
        </w:tc>
        <w:tc>
          <w:tcPr>
            <w:tcW w:w="1401" w:type="pct"/>
            <w:vMerge w:val="continue"/>
            <w:shd w:val="clear" w:color="auto" w:fill="auto"/>
            <w:vAlign w:val="center"/>
          </w:tcPr>
          <w:p w14:paraId="09A7404C">
            <w:pPr>
              <w:pStyle w:val="180"/>
              <w:rPr>
                <w:szCs w:val="22"/>
                <w:lang w:eastAsia="en-US"/>
              </w:rPr>
            </w:pPr>
          </w:p>
        </w:tc>
        <w:tc>
          <w:tcPr>
            <w:tcW w:w="1426" w:type="pct"/>
            <w:shd w:val="clear" w:color="auto" w:fill="auto"/>
            <w:vAlign w:val="center"/>
          </w:tcPr>
          <w:p w14:paraId="705A50CA">
            <w:pPr>
              <w:pStyle w:val="180"/>
              <w:rPr>
                <w:szCs w:val="22"/>
              </w:rPr>
            </w:pPr>
            <w:r>
              <w:rPr>
                <w:rFonts w:hint="eastAsia"/>
                <w:szCs w:val="22"/>
              </w:rPr>
              <w:t>＞</w:t>
            </w:r>
            <w:r>
              <w:rPr>
                <w:szCs w:val="22"/>
                <w:lang w:eastAsia="en-US"/>
              </w:rPr>
              <w:t>30</w:t>
            </w:r>
          </w:p>
        </w:tc>
        <w:tc>
          <w:tcPr>
            <w:tcW w:w="1131" w:type="pct"/>
          </w:tcPr>
          <w:p w14:paraId="53DA4387">
            <w:pPr>
              <w:pStyle w:val="180"/>
              <w:rPr>
                <w:szCs w:val="22"/>
              </w:rPr>
            </w:pPr>
            <w:r>
              <w:rPr>
                <w:rFonts w:hint="eastAsia" w:hAnsi="宋体"/>
                <w:szCs w:val="18"/>
              </w:rPr>
              <w:t>1</w:t>
            </w:r>
          </w:p>
        </w:tc>
      </w:tr>
      <w:tr w14:paraId="45EBE1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56178DBD">
            <w:pPr>
              <w:pStyle w:val="180"/>
            </w:pPr>
            <w:r>
              <w:rPr>
                <w:rFonts w:hint="eastAsia"/>
              </w:rPr>
              <w:t>3</w:t>
            </w:r>
          </w:p>
        </w:tc>
        <w:tc>
          <w:tcPr>
            <w:tcW w:w="611" w:type="pct"/>
            <w:vMerge w:val="restart"/>
            <w:shd w:val="clear" w:color="auto" w:fill="auto"/>
            <w:vAlign w:val="center"/>
          </w:tcPr>
          <w:p w14:paraId="60A56A98">
            <w:pPr>
              <w:pStyle w:val="180"/>
            </w:pPr>
            <w:r>
              <w:rPr>
                <w:rFonts w:hint="eastAsia"/>
                <w:szCs w:val="22"/>
                <w:lang w:eastAsia="en-US"/>
              </w:rPr>
              <w:t>覆盖层地质构造特征</w:t>
            </w:r>
          </w:p>
        </w:tc>
        <w:tc>
          <w:tcPr>
            <w:tcW w:w="1401" w:type="pct"/>
            <w:vMerge w:val="restart"/>
            <w:shd w:val="clear" w:color="auto" w:fill="auto"/>
            <w:vAlign w:val="center"/>
          </w:tcPr>
          <w:p w14:paraId="44F72861">
            <w:pPr>
              <w:spacing w:line="240" w:lineRule="auto"/>
              <w:jc w:val="center"/>
              <w:rPr>
                <w:rFonts w:ascii="宋体" w:hAnsi="Times New Roman"/>
                <w:kern w:val="0"/>
                <w:sz w:val="18"/>
                <w:szCs w:val="22"/>
                <w:lang w:eastAsia="en-US"/>
              </w:rPr>
            </w:pPr>
            <w:r>
              <w:rPr>
                <w:rFonts w:hint="eastAsia" w:ascii="宋体" w:hAnsi="Times New Roman"/>
                <w:kern w:val="0"/>
                <w:sz w:val="18"/>
                <w:szCs w:val="22"/>
                <w:lang w:eastAsia="en-US"/>
              </w:rPr>
              <w:t>土层厚度（m）</w:t>
            </w:r>
          </w:p>
        </w:tc>
        <w:tc>
          <w:tcPr>
            <w:tcW w:w="1426" w:type="pct"/>
            <w:shd w:val="clear" w:color="auto" w:fill="auto"/>
            <w:vAlign w:val="center"/>
          </w:tcPr>
          <w:p w14:paraId="58D4DEF0">
            <w:pPr>
              <w:pStyle w:val="180"/>
              <w:rPr>
                <w:szCs w:val="22"/>
              </w:rPr>
            </w:pPr>
            <w:r>
              <w:rPr>
                <w:rFonts w:hint="eastAsia"/>
                <w:szCs w:val="22"/>
              </w:rPr>
              <w:t>≤20</w:t>
            </w:r>
          </w:p>
        </w:tc>
        <w:tc>
          <w:tcPr>
            <w:tcW w:w="1131" w:type="pct"/>
          </w:tcPr>
          <w:p w14:paraId="797984E3">
            <w:pPr>
              <w:pStyle w:val="180"/>
              <w:rPr>
                <w:szCs w:val="22"/>
              </w:rPr>
            </w:pPr>
            <w:r>
              <w:rPr>
                <w:rFonts w:hint="eastAsia" w:hAnsi="宋体"/>
                <w:szCs w:val="18"/>
              </w:rPr>
              <w:t>5</w:t>
            </w:r>
          </w:p>
        </w:tc>
      </w:tr>
      <w:tr w14:paraId="64259D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052EB239">
            <w:pPr>
              <w:pStyle w:val="180"/>
            </w:pPr>
          </w:p>
        </w:tc>
        <w:tc>
          <w:tcPr>
            <w:tcW w:w="611" w:type="pct"/>
            <w:vMerge w:val="continue"/>
            <w:shd w:val="clear" w:color="auto" w:fill="auto"/>
            <w:vAlign w:val="center"/>
          </w:tcPr>
          <w:p w14:paraId="6B77DC1E">
            <w:pPr>
              <w:pStyle w:val="180"/>
            </w:pPr>
          </w:p>
        </w:tc>
        <w:tc>
          <w:tcPr>
            <w:tcW w:w="1401" w:type="pct"/>
            <w:vMerge w:val="continue"/>
            <w:shd w:val="clear" w:color="auto" w:fill="auto"/>
            <w:vAlign w:val="center"/>
          </w:tcPr>
          <w:p w14:paraId="70445991">
            <w:pPr>
              <w:pStyle w:val="180"/>
              <w:rPr>
                <w:szCs w:val="22"/>
                <w:lang w:eastAsia="en-US"/>
              </w:rPr>
            </w:pPr>
          </w:p>
        </w:tc>
        <w:tc>
          <w:tcPr>
            <w:tcW w:w="1426" w:type="pct"/>
            <w:shd w:val="clear" w:color="auto" w:fill="auto"/>
            <w:vAlign w:val="center"/>
          </w:tcPr>
          <w:p w14:paraId="092CF475">
            <w:pPr>
              <w:pStyle w:val="180"/>
              <w:rPr>
                <w:szCs w:val="22"/>
              </w:rPr>
            </w:pPr>
            <w:r>
              <w:rPr>
                <w:rFonts w:hint="eastAsia"/>
                <w:szCs w:val="22"/>
              </w:rPr>
              <w:t>20</w:t>
            </w:r>
            <w:r>
              <w:rPr>
                <w:szCs w:val="22"/>
                <w:lang w:eastAsia="en-US"/>
              </w:rPr>
              <w:t>～</w:t>
            </w:r>
            <w:r>
              <w:rPr>
                <w:rFonts w:hint="eastAsia"/>
                <w:szCs w:val="22"/>
              </w:rPr>
              <w:t>60</w:t>
            </w:r>
          </w:p>
        </w:tc>
        <w:tc>
          <w:tcPr>
            <w:tcW w:w="1131" w:type="pct"/>
          </w:tcPr>
          <w:p w14:paraId="1CAAEBD2">
            <w:pPr>
              <w:pStyle w:val="180"/>
              <w:rPr>
                <w:szCs w:val="22"/>
              </w:rPr>
            </w:pPr>
            <w:r>
              <w:rPr>
                <w:rFonts w:hint="eastAsia" w:hAnsi="宋体"/>
                <w:szCs w:val="18"/>
              </w:rPr>
              <w:t>3</w:t>
            </w:r>
          </w:p>
        </w:tc>
      </w:tr>
      <w:tr w14:paraId="733FBB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121512AD">
            <w:pPr>
              <w:pStyle w:val="180"/>
            </w:pPr>
          </w:p>
        </w:tc>
        <w:tc>
          <w:tcPr>
            <w:tcW w:w="611" w:type="pct"/>
            <w:vMerge w:val="continue"/>
            <w:shd w:val="clear" w:color="auto" w:fill="auto"/>
            <w:vAlign w:val="center"/>
          </w:tcPr>
          <w:p w14:paraId="4D7A338A">
            <w:pPr>
              <w:pStyle w:val="180"/>
            </w:pPr>
          </w:p>
        </w:tc>
        <w:tc>
          <w:tcPr>
            <w:tcW w:w="1401" w:type="pct"/>
            <w:vMerge w:val="continue"/>
            <w:shd w:val="clear" w:color="auto" w:fill="auto"/>
            <w:vAlign w:val="center"/>
          </w:tcPr>
          <w:p w14:paraId="641813EA">
            <w:pPr>
              <w:pStyle w:val="180"/>
              <w:rPr>
                <w:szCs w:val="22"/>
                <w:lang w:eastAsia="en-US"/>
              </w:rPr>
            </w:pPr>
          </w:p>
        </w:tc>
        <w:tc>
          <w:tcPr>
            <w:tcW w:w="1426" w:type="pct"/>
            <w:shd w:val="clear" w:color="auto" w:fill="auto"/>
            <w:vAlign w:val="center"/>
          </w:tcPr>
          <w:p w14:paraId="0AC0EF99">
            <w:pPr>
              <w:pStyle w:val="180"/>
              <w:rPr>
                <w:szCs w:val="22"/>
              </w:rPr>
            </w:pPr>
            <w:r>
              <w:rPr>
                <w:rFonts w:hint="eastAsia"/>
                <w:szCs w:val="22"/>
              </w:rPr>
              <w:t>＞60</w:t>
            </w:r>
          </w:p>
        </w:tc>
        <w:tc>
          <w:tcPr>
            <w:tcW w:w="1131" w:type="pct"/>
          </w:tcPr>
          <w:p w14:paraId="26B4702A">
            <w:pPr>
              <w:pStyle w:val="180"/>
              <w:rPr>
                <w:szCs w:val="22"/>
              </w:rPr>
            </w:pPr>
            <w:r>
              <w:rPr>
                <w:rFonts w:hint="eastAsia" w:hAnsi="宋体"/>
                <w:szCs w:val="18"/>
              </w:rPr>
              <w:t>1</w:t>
            </w:r>
          </w:p>
        </w:tc>
      </w:tr>
      <w:tr w14:paraId="6FCC5B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6F163D56">
            <w:pPr>
              <w:pStyle w:val="180"/>
            </w:pPr>
            <w:r>
              <w:rPr>
                <w:rFonts w:hint="eastAsia"/>
              </w:rPr>
              <w:t>4</w:t>
            </w:r>
          </w:p>
        </w:tc>
        <w:tc>
          <w:tcPr>
            <w:tcW w:w="611" w:type="pct"/>
            <w:vMerge w:val="continue"/>
            <w:shd w:val="clear" w:color="auto" w:fill="auto"/>
            <w:vAlign w:val="center"/>
          </w:tcPr>
          <w:p w14:paraId="433BED6D">
            <w:pPr>
              <w:pStyle w:val="180"/>
            </w:pPr>
          </w:p>
        </w:tc>
        <w:tc>
          <w:tcPr>
            <w:tcW w:w="1401" w:type="pct"/>
            <w:vMerge w:val="restart"/>
            <w:shd w:val="clear" w:color="auto" w:fill="auto"/>
            <w:vAlign w:val="center"/>
          </w:tcPr>
          <w:p w14:paraId="6D1038B3">
            <w:pPr>
              <w:spacing w:line="240" w:lineRule="auto"/>
              <w:jc w:val="center"/>
              <w:rPr>
                <w:rFonts w:ascii="宋体" w:hAnsi="Times New Roman"/>
                <w:kern w:val="0"/>
                <w:sz w:val="18"/>
                <w:szCs w:val="22"/>
                <w:lang w:eastAsia="en-US"/>
              </w:rPr>
            </w:pPr>
            <w:r>
              <w:rPr>
                <w:rFonts w:hint="eastAsia" w:ascii="宋体" w:hAnsi="Times New Roman"/>
                <w:kern w:val="0"/>
                <w:sz w:val="18"/>
                <w:szCs w:val="22"/>
                <w:lang w:eastAsia="en-US"/>
              </w:rPr>
              <w:t>土层结构</w:t>
            </w:r>
          </w:p>
        </w:tc>
        <w:tc>
          <w:tcPr>
            <w:tcW w:w="1426" w:type="pct"/>
            <w:shd w:val="clear" w:color="auto" w:fill="auto"/>
            <w:vAlign w:val="center"/>
          </w:tcPr>
          <w:p w14:paraId="225C1D85">
            <w:pPr>
              <w:pStyle w:val="180"/>
              <w:rPr>
                <w:szCs w:val="22"/>
              </w:rPr>
            </w:pPr>
            <w:r>
              <w:rPr>
                <w:szCs w:val="22"/>
                <w:lang w:eastAsia="en-US"/>
              </w:rPr>
              <w:t>多层结构</w:t>
            </w:r>
          </w:p>
        </w:tc>
        <w:tc>
          <w:tcPr>
            <w:tcW w:w="1131" w:type="pct"/>
          </w:tcPr>
          <w:p w14:paraId="42E53FC6">
            <w:pPr>
              <w:pStyle w:val="180"/>
              <w:rPr>
                <w:szCs w:val="22"/>
                <w:lang w:eastAsia="en-US"/>
              </w:rPr>
            </w:pPr>
            <w:r>
              <w:rPr>
                <w:rFonts w:hint="eastAsia" w:hAnsi="宋体"/>
                <w:szCs w:val="18"/>
              </w:rPr>
              <w:t>5</w:t>
            </w:r>
          </w:p>
        </w:tc>
      </w:tr>
      <w:tr w14:paraId="173A2E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0DD3D6A6">
            <w:pPr>
              <w:pStyle w:val="180"/>
            </w:pPr>
          </w:p>
        </w:tc>
        <w:tc>
          <w:tcPr>
            <w:tcW w:w="611" w:type="pct"/>
            <w:vMerge w:val="continue"/>
            <w:shd w:val="clear" w:color="auto" w:fill="auto"/>
            <w:vAlign w:val="center"/>
          </w:tcPr>
          <w:p w14:paraId="12DE626B">
            <w:pPr>
              <w:pStyle w:val="180"/>
            </w:pPr>
          </w:p>
        </w:tc>
        <w:tc>
          <w:tcPr>
            <w:tcW w:w="1401" w:type="pct"/>
            <w:vMerge w:val="continue"/>
            <w:shd w:val="clear" w:color="auto" w:fill="auto"/>
            <w:vAlign w:val="center"/>
          </w:tcPr>
          <w:p w14:paraId="78725A9D">
            <w:pPr>
              <w:pStyle w:val="180"/>
              <w:rPr>
                <w:szCs w:val="22"/>
                <w:lang w:eastAsia="en-US"/>
              </w:rPr>
            </w:pPr>
          </w:p>
        </w:tc>
        <w:tc>
          <w:tcPr>
            <w:tcW w:w="1426" w:type="pct"/>
            <w:shd w:val="clear" w:color="auto" w:fill="auto"/>
            <w:vAlign w:val="center"/>
          </w:tcPr>
          <w:p w14:paraId="560B3EA2">
            <w:pPr>
              <w:pStyle w:val="180"/>
              <w:rPr>
                <w:szCs w:val="22"/>
              </w:rPr>
            </w:pPr>
            <w:r>
              <w:rPr>
                <w:szCs w:val="22"/>
                <w:lang w:eastAsia="en-US"/>
              </w:rPr>
              <w:t>双层结构</w:t>
            </w:r>
          </w:p>
        </w:tc>
        <w:tc>
          <w:tcPr>
            <w:tcW w:w="1131" w:type="pct"/>
          </w:tcPr>
          <w:p w14:paraId="086EA199">
            <w:pPr>
              <w:pStyle w:val="180"/>
              <w:rPr>
                <w:szCs w:val="22"/>
                <w:lang w:eastAsia="en-US"/>
              </w:rPr>
            </w:pPr>
            <w:r>
              <w:rPr>
                <w:rFonts w:hint="eastAsia" w:hAnsi="宋体"/>
                <w:szCs w:val="18"/>
              </w:rPr>
              <w:t>3</w:t>
            </w:r>
          </w:p>
        </w:tc>
      </w:tr>
      <w:tr w14:paraId="71CA8A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2E20FA48">
            <w:pPr>
              <w:pStyle w:val="180"/>
            </w:pPr>
          </w:p>
        </w:tc>
        <w:tc>
          <w:tcPr>
            <w:tcW w:w="611" w:type="pct"/>
            <w:vMerge w:val="continue"/>
            <w:shd w:val="clear" w:color="auto" w:fill="auto"/>
            <w:vAlign w:val="center"/>
          </w:tcPr>
          <w:p w14:paraId="422E7745">
            <w:pPr>
              <w:pStyle w:val="180"/>
            </w:pPr>
          </w:p>
        </w:tc>
        <w:tc>
          <w:tcPr>
            <w:tcW w:w="1401" w:type="pct"/>
            <w:vMerge w:val="continue"/>
            <w:shd w:val="clear" w:color="auto" w:fill="auto"/>
            <w:vAlign w:val="center"/>
          </w:tcPr>
          <w:p w14:paraId="0BA2671D">
            <w:pPr>
              <w:pStyle w:val="180"/>
              <w:rPr>
                <w:szCs w:val="22"/>
                <w:lang w:eastAsia="en-US"/>
              </w:rPr>
            </w:pPr>
          </w:p>
        </w:tc>
        <w:tc>
          <w:tcPr>
            <w:tcW w:w="1426" w:type="pct"/>
            <w:shd w:val="clear" w:color="auto" w:fill="auto"/>
            <w:vAlign w:val="center"/>
          </w:tcPr>
          <w:p w14:paraId="705A7D3A">
            <w:pPr>
              <w:pStyle w:val="180"/>
              <w:rPr>
                <w:szCs w:val="22"/>
              </w:rPr>
            </w:pPr>
            <w:r>
              <w:rPr>
                <w:rFonts w:hint="eastAsia"/>
                <w:szCs w:val="22"/>
              </w:rPr>
              <w:t>单</w:t>
            </w:r>
            <w:r>
              <w:rPr>
                <w:szCs w:val="22"/>
                <w:lang w:eastAsia="en-US"/>
              </w:rPr>
              <w:t>层结构</w:t>
            </w:r>
          </w:p>
        </w:tc>
        <w:tc>
          <w:tcPr>
            <w:tcW w:w="1131" w:type="pct"/>
          </w:tcPr>
          <w:p w14:paraId="5A831507">
            <w:pPr>
              <w:pStyle w:val="180"/>
              <w:rPr>
                <w:szCs w:val="22"/>
              </w:rPr>
            </w:pPr>
            <w:r>
              <w:rPr>
                <w:rFonts w:hint="eastAsia" w:hAnsi="宋体"/>
                <w:szCs w:val="18"/>
              </w:rPr>
              <w:t>1</w:t>
            </w:r>
          </w:p>
        </w:tc>
      </w:tr>
      <w:tr w14:paraId="3652AC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0225C75D">
            <w:pPr>
              <w:pStyle w:val="180"/>
            </w:pPr>
            <w:r>
              <w:rPr>
                <w:rFonts w:hint="eastAsia"/>
              </w:rPr>
              <w:t>5</w:t>
            </w:r>
          </w:p>
        </w:tc>
        <w:tc>
          <w:tcPr>
            <w:tcW w:w="611" w:type="pct"/>
            <w:vMerge w:val="continue"/>
            <w:shd w:val="clear" w:color="auto" w:fill="auto"/>
            <w:vAlign w:val="center"/>
          </w:tcPr>
          <w:p w14:paraId="7E5DEAA9">
            <w:pPr>
              <w:pStyle w:val="180"/>
            </w:pPr>
          </w:p>
        </w:tc>
        <w:tc>
          <w:tcPr>
            <w:tcW w:w="1401" w:type="pct"/>
            <w:vMerge w:val="restart"/>
            <w:shd w:val="clear" w:color="auto" w:fill="auto"/>
            <w:vAlign w:val="center"/>
          </w:tcPr>
          <w:p w14:paraId="74005838">
            <w:pPr>
              <w:spacing w:line="240" w:lineRule="auto"/>
              <w:jc w:val="center"/>
              <w:rPr>
                <w:rFonts w:ascii="宋体" w:hAnsi="Times New Roman"/>
                <w:kern w:val="0"/>
                <w:sz w:val="18"/>
                <w:szCs w:val="22"/>
                <w:lang w:eastAsia="en-US"/>
              </w:rPr>
            </w:pPr>
            <w:r>
              <w:rPr>
                <w:rFonts w:hint="eastAsia" w:ascii="宋体" w:hAnsi="Times New Roman"/>
                <w:kern w:val="0"/>
                <w:sz w:val="18"/>
                <w:szCs w:val="22"/>
                <w:lang w:eastAsia="en-US"/>
              </w:rPr>
              <w:t>第四系底部土层岩性</w:t>
            </w:r>
          </w:p>
        </w:tc>
        <w:tc>
          <w:tcPr>
            <w:tcW w:w="1426" w:type="pct"/>
            <w:shd w:val="clear" w:color="auto" w:fill="auto"/>
            <w:vAlign w:val="center"/>
          </w:tcPr>
          <w:p w14:paraId="4C4552CE">
            <w:pPr>
              <w:pStyle w:val="180"/>
              <w:rPr>
                <w:szCs w:val="22"/>
              </w:rPr>
            </w:pPr>
            <w:r>
              <w:rPr>
                <w:szCs w:val="22"/>
                <w:lang w:eastAsia="en-US"/>
              </w:rPr>
              <w:t>砂土、淤泥</w:t>
            </w:r>
          </w:p>
        </w:tc>
        <w:tc>
          <w:tcPr>
            <w:tcW w:w="1131" w:type="pct"/>
          </w:tcPr>
          <w:p w14:paraId="1A86896C">
            <w:pPr>
              <w:pStyle w:val="180"/>
              <w:rPr>
                <w:szCs w:val="22"/>
                <w:lang w:eastAsia="en-US"/>
              </w:rPr>
            </w:pPr>
            <w:r>
              <w:rPr>
                <w:rFonts w:hint="eastAsia" w:hAnsi="宋体"/>
                <w:szCs w:val="18"/>
              </w:rPr>
              <w:t>5</w:t>
            </w:r>
          </w:p>
        </w:tc>
      </w:tr>
      <w:tr w14:paraId="784F13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1CBF19DE">
            <w:pPr>
              <w:pStyle w:val="180"/>
            </w:pPr>
          </w:p>
        </w:tc>
        <w:tc>
          <w:tcPr>
            <w:tcW w:w="611" w:type="pct"/>
            <w:vMerge w:val="continue"/>
            <w:shd w:val="clear" w:color="auto" w:fill="auto"/>
            <w:vAlign w:val="center"/>
          </w:tcPr>
          <w:p w14:paraId="6A50233A">
            <w:pPr>
              <w:pStyle w:val="180"/>
            </w:pPr>
          </w:p>
        </w:tc>
        <w:tc>
          <w:tcPr>
            <w:tcW w:w="1401" w:type="pct"/>
            <w:vMerge w:val="continue"/>
            <w:shd w:val="clear" w:color="auto" w:fill="auto"/>
            <w:vAlign w:val="center"/>
          </w:tcPr>
          <w:p w14:paraId="1F645026">
            <w:pPr>
              <w:pStyle w:val="180"/>
              <w:rPr>
                <w:szCs w:val="22"/>
                <w:lang w:eastAsia="en-US"/>
              </w:rPr>
            </w:pPr>
          </w:p>
        </w:tc>
        <w:tc>
          <w:tcPr>
            <w:tcW w:w="1426" w:type="pct"/>
            <w:shd w:val="clear" w:color="auto" w:fill="auto"/>
            <w:vAlign w:val="center"/>
          </w:tcPr>
          <w:p w14:paraId="666380BE">
            <w:pPr>
              <w:pStyle w:val="180"/>
              <w:rPr>
                <w:szCs w:val="22"/>
              </w:rPr>
            </w:pPr>
            <w:r>
              <w:rPr>
                <w:szCs w:val="22"/>
                <w:lang w:eastAsia="en-US"/>
              </w:rPr>
              <w:t>粉土</w:t>
            </w:r>
          </w:p>
        </w:tc>
        <w:tc>
          <w:tcPr>
            <w:tcW w:w="1131" w:type="pct"/>
          </w:tcPr>
          <w:p w14:paraId="124EE90B">
            <w:pPr>
              <w:pStyle w:val="180"/>
              <w:rPr>
                <w:szCs w:val="22"/>
                <w:lang w:eastAsia="en-US"/>
              </w:rPr>
            </w:pPr>
            <w:r>
              <w:rPr>
                <w:rFonts w:hint="eastAsia" w:hAnsi="宋体"/>
                <w:szCs w:val="18"/>
              </w:rPr>
              <w:t>3</w:t>
            </w:r>
          </w:p>
        </w:tc>
      </w:tr>
      <w:tr w14:paraId="51BD55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0CB2B508">
            <w:pPr>
              <w:pStyle w:val="180"/>
            </w:pPr>
          </w:p>
        </w:tc>
        <w:tc>
          <w:tcPr>
            <w:tcW w:w="611" w:type="pct"/>
            <w:vMerge w:val="continue"/>
            <w:shd w:val="clear" w:color="auto" w:fill="auto"/>
            <w:vAlign w:val="center"/>
          </w:tcPr>
          <w:p w14:paraId="3ED7BE03">
            <w:pPr>
              <w:pStyle w:val="180"/>
            </w:pPr>
          </w:p>
        </w:tc>
        <w:tc>
          <w:tcPr>
            <w:tcW w:w="1401" w:type="pct"/>
            <w:vMerge w:val="continue"/>
            <w:shd w:val="clear" w:color="auto" w:fill="auto"/>
            <w:vAlign w:val="center"/>
          </w:tcPr>
          <w:p w14:paraId="75A14537">
            <w:pPr>
              <w:pStyle w:val="180"/>
              <w:rPr>
                <w:szCs w:val="22"/>
                <w:lang w:eastAsia="en-US"/>
              </w:rPr>
            </w:pPr>
          </w:p>
        </w:tc>
        <w:tc>
          <w:tcPr>
            <w:tcW w:w="1426" w:type="pct"/>
            <w:shd w:val="clear" w:color="auto" w:fill="auto"/>
            <w:vAlign w:val="center"/>
          </w:tcPr>
          <w:p w14:paraId="46E93DCD">
            <w:pPr>
              <w:pStyle w:val="180"/>
              <w:rPr>
                <w:szCs w:val="22"/>
              </w:rPr>
            </w:pPr>
            <w:r>
              <w:rPr>
                <w:szCs w:val="22"/>
              </w:rPr>
              <w:t>碎石土、粉质粘 土、粘土</w:t>
            </w:r>
          </w:p>
        </w:tc>
        <w:tc>
          <w:tcPr>
            <w:tcW w:w="1131" w:type="pct"/>
            <w:vAlign w:val="center"/>
          </w:tcPr>
          <w:p w14:paraId="7CF4ADD2">
            <w:pPr>
              <w:pStyle w:val="180"/>
              <w:rPr>
                <w:rFonts w:hAnsi="宋体"/>
                <w:szCs w:val="18"/>
              </w:rPr>
            </w:pPr>
            <w:r>
              <w:rPr>
                <w:rFonts w:hint="eastAsia" w:hAnsi="宋体"/>
                <w:szCs w:val="18"/>
              </w:rPr>
              <w:t>1</w:t>
            </w:r>
          </w:p>
        </w:tc>
      </w:tr>
      <w:tr w14:paraId="61982A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67733A84">
            <w:pPr>
              <w:pStyle w:val="180"/>
            </w:pPr>
            <w:r>
              <w:rPr>
                <w:rFonts w:hint="eastAsia"/>
              </w:rPr>
              <w:t>6</w:t>
            </w:r>
          </w:p>
        </w:tc>
        <w:tc>
          <w:tcPr>
            <w:tcW w:w="611" w:type="pct"/>
            <w:vMerge w:val="continue"/>
            <w:shd w:val="clear" w:color="auto" w:fill="auto"/>
            <w:vAlign w:val="center"/>
          </w:tcPr>
          <w:p w14:paraId="4A98BF68">
            <w:pPr>
              <w:pStyle w:val="180"/>
            </w:pPr>
          </w:p>
        </w:tc>
        <w:tc>
          <w:tcPr>
            <w:tcW w:w="1401" w:type="pct"/>
            <w:vMerge w:val="restart"/>
            <w:shd w:val="clear" w:color="auto" w:fill="auto"/>
            <w:vAlign w:val="center"/>
          </w:tcPr>
          <w:p w14:paraId="60F3D05F">
            <w:pPr>
              <w:spacing w:line="240" w:lineRule="auto"/>
              <w:jc w:val="center"/>
              <w:rPr>
                <w:rFonts w:ascii="宋体" w:hAnsi="Times New Roman"/>
                <w:kern w:val="0"/>
                <w:sz w:val="18"/>
                <w:szCs w:val="22"/>
              </w:rPr>
            </w:pPr>
            <w:r>
              <w:rPr>
                <w:rFonts w:hint="eastAsia" w:ascii="宋体" w:hAnsi="Times New Roman"/>
                <w:kern w:val="0"/>
                <w:sz w:val="18"/>
                <w:szCs w:val="22"/>
              </w:rPr>
              <w:t>第四系底部土层液性指数</w:t>
            </w:r>
          </w:p>
        </w:tc>
        <w:tc>
          <w:tcPr>
            <w:tcW w:w="1426" w:type="pct"/>
            <w:shd w:val="clear" w:color="auto" w:fill="auto"/>
            <w:vAlign w:val="center"/>
          </w:tcPr>
          <w:p w14:paraId="048DB351">
            <w:pPr>
              <w:pStyle w:val="180"/>
              <w:rPr>
                <w:szCs w:val="22"/>
              </w:rPr>
            </w:pPr>
            <w:r>
              <w:rPr>
                <w:szCs w:val="22"/>
                <w:lang w:eastAsia="en-US"/>
              </w:rPr>
              <w:t>流塑、软塑</w:t>
            </w:r>
          </w:p>
        </w:tc>
        <w:tc>
          <w:tcPr>
            <w:tcW w:w="1131" w:type="pct"/>
          </w:tcPr>
          <w:p w14:paraId="4B24E5FE">
            <w:pPr>
              <w:pStyle w:val="180"/>
              <w:rPr>
                <w:rFonts w:hAnsi="宋体"/>
                <w:szCs w:val="18"/>
              </w:rPr>
            </w:pPr>
            <w:r>
              <w:rPr>
                <w:rFonts w:hint="eastAsia" w:hAnsi="宋体"/>
                <w:szCs w:val="18"/>
              </w:rPr>
              <w:t>5</w:t>
            </w:r>
          </w:p>
        </w:tc>
      </w:tr>
      <w:tr w14:paraId="01935D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25A7FE70">
            <w:pPr>
              <w:pStyle w:val="180"/>
            </w:pPr>
          </w:p>
        </w:tc>
        <w:tc>
          <w:tcPr>
            <w:tcW w:w="611" w:type="pct"/>
            <w:vMerge w:val="continue"/>
            <w:shd w:val="clear" w:color="auto" w:fill="auto"/>
            <w:vAlign w:val="center"/>
          </w:tcPr>
          <w:p w14:paraId="38D8DF03">
            <w:pPr>
              <w:pStyle w:val="180"/>
            </w:pPr>
          </w:p>
        </w:tc>
        <w:tc>
          <w:tcPr>
            <w:tcW w:w="1401" w:type="pct"/>
            <w:vMerge w:val="continue"/>
            <w:shd w:val="clear" w:color="auto" w:fill="auto"/>
            <w:vAlign w:val="center"/>
          </w:tcPr>
          <w:p w14:paraId="72F04523">
            <w:pPr>
              <w:pStyle w:val="180"/>
            </w:pPr>
          </w:p>
        </w:tc>
        <w:tc>
          <w:tcPr>
            <w:tcW w:w="1426" w:type="pct"/>
            <w:shd w:val="clear" w:color="auto" w:fill="auto"/>
            <w:vAlign w:val="center"/>
          </w:tcPr>
          <w:p w14:paraId="069941C2">
            <w:pPr>
              <w:pStyle w:val="180"/>
              <w:rPr>
                <w:szCs w:val="22"/>
              </w:rPr>
            </w:pPr>
            <w:r>
              <w:rPr>
                <w:szCs w:val="22"/>
                <w:lang w:eastAsia="en-US"/>
              </w:rPr>
              <w:t>可塑</w:t>
            </w:r>
          </w:p>
        </w:tc>
        <w:tc>
          <w:tcPr>
            <w:tcW w:w="1131" w:type="pct"/>
          </w:tcPr>
          <w:p w14:paraId="407C74A3">
            <w:pPr>
              <w:pStyle w:val="180"/>
              <w:rPr>
                <w:rFonts w:hAnsi="宋体"/>
                <w:szCs w:val="18"/>
              </w:rPr>
            </w:pPr>
            <w:r>
              <w:rPr>
                <w:rFonts w:hint="eastAsia" w:hAnsi="宋体"/>
                <w:szCs w:val="18"/>
              </w:rPr>
              <w:t>3</w:t>
            </w:r>
          </w:p>
        </w:tc>
      </w:tr>
      <w:tr w14:paraId="38864D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0D8200A7">
            <w:pPr>
              <w:pStyle w:val="180"/>
            </w:pPr>
          </w:p>
        </w:tc>
        <w:tc>
          <w:tcPr>
            <w:tcW w:w="611" w:type="pct"/>
            <w:vMerge w:val="continue"/>
            <w:shd w:val="clear" w:color="auto" w:fill="auto"/>
            <w:vAlign w:val="center"/>
          </w:tcPr>
          <w:p w14:paraId="4F5FBA38">
            <w:pPr>
              <w:pStyle w:val="180"/>
            </w:pPr>
          </w:p>
        </w:tc>
        <w:tc>
          <w:tcPr>
            <w:tcW w:w="1401" w:type="pct"/>
            <w:vMerge w:val="continue"/>
            <w:shd w:val="clear" w:color="auto" w:fill="auto"/>
            <w:vAlign w:val="center"/>
          </w:tcPr>
          <w:p w14:paraId="2677DA7D">
            <w:pPr>
              <w:pStyle w:val="180"/>
            </w:pPr>
          </w:p>
        </w:tc>
        <w:tc>
          <w:tcPr>
            <w:tcW w:w="1426" w:type="pct"/>
            <w:shd w:val="clear" w:color="auto" w:fill="auto"/>
            <w:vAlign w:val="center"/>
          </w:tcPr>
          <w:p w14:paraId="5F05AB00">
            <w:pPr>
              <w:pStyle w:val="180"/>
              <w:rPr>
                <w:szCs w:val="22"/>
              </w:rPr>
            </w:pPr>
            <w:r>
              <w:rPr>
                <w:szCs w:val="22"/>
                <w:lang w:eastAsia="en-US"/>
              </w:rPr>
              <w:t>硬塑、坚硬</w:t>
            </w:r>
          </w:p>
        </w:tc>
        <w:tc>
          <w:tcPr>
            <w:tcW w:w="1131" w:type="pct"/>
          </w:tcPr>
          <w:p w14:paraId="777E04AD">
            <w:pPr>
              <w:pStyle w:val="180"/>
              <w:rPr>
                <w:rFonts w:hAnsi="宋体"/>
                <w:szCs w:val="18"/>
              </w:rPr>
            </w:pPr>
            <w:r>
              <w:rPr>
                <w:rFonts w:hint="eastAsia" w:hAnsi="宋体"/>
                <w:szCs w:val="18"/>
              </w:rPr>
              <w:t>1</w:t>
            </w:r>
          </w:p>
        </w:tc>
      </w:tr>
      <w:tr w14:paraId="353CA9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restart"/>
            <w:shd w:val="clear" w:color="auto" w:fill="auto"/>
            <w:vAlign w:val="center"/>
          </w:tcPr>
          <w:p w14:paraId="13520369">
            <w:pPr>
              <w:pStyle w:val="180"/>
              <w:rPr>
                <w:color w:val="000000" w:themeColor="text1"/>
                <w14:textFill>
                  <w14:solidFill>
                    <w14:schemeClr w14:val="tx1"/>
                  </w14:solidFill>
                </w14:textFill>
              </w:rPr>
            </w:pPr>
            <w:r>
              <w:rPr>
                <w:color w:val="000000" w:themeColor="text1"/>
                <w14:textFill>
                  <w14:solidFill>
                    <w14:schemeClr w14:val="tx1"/>
                  </w14:solidFill>
                </w14:textFill>
              </w:rPr>
              <w:t>7</w:t>
            </w:r>
          </w:p>
        </w:tc>
        <w:tc>
          <w:tcPr>
            <w:tcW w:w="2012" w:type="pct"/>
            <w:gridSpan w:val="2"/>
            <w:vMerge w:val="restart"/>
            <w:shd w:val="clear" w:color="auto" w:fill="auto"/>
            <w:vAlign w:val="center"/>
          </w:tcPr>
          <w:p w14:paraId="4C598FD6">
            <w:pPr>
              <w:pStyle w:val="180"/>
              <w:rPr>
                <w:color w:val="000000" w:themeColor="text1"/>
                <w14:textFill>
                  <w14:solidFill>
                    <w14:schemeClr w14:val="tx1"/>
                  </w14:solidFill>
                </w14:textFill>
              </w:rPr>
            </w:pPr>
            <w:r>
              <w:rPr>
                <w:rFonts w:hint="eastAsia"/>
                <w:color w:val="000000" w:themeColor="text1"/>
                <w14:textFill>
                  <w14:solidFill>
                    <w14:schemeClr w14:val="tx1"/>
                  </w14:solidFill>
                </w14:textFill>
              </w:rPr>
              <w:t>塌陷坑（土洞）密度</w:t>
            </w:r>
          </w:p>
          <w:p w14:paraId="22EFE387">
            <w:pPr>
              <w:pStyle w:val="180"/>
              <w:rPr>
                <w:color w:val="000000" w:themeColor="text1"/>
                <w14:textFill>
                  <w14:solidFill>
                    <w14:schemeClr w14:val="tx1"/>
                  </w14:solidFill>
                </w14:textFill>
              </w:rPr>
            </w:pPr>
            <w:r>
              <w:rPr>
                <w:rFonts w:hint="eastAsia"/>
                <w:color w:val="000000" w:themeColor="text1"/>
                <w14:textFill>
                  <w14:solidFill>
                    <w14:schemeClr w14:val="tx1"/>
                  </w14:solidFill>
                </w14:textFill>
              </w:rPr>
              <w:t>（个</w:t>
            </w:r>
            <w:r>
              <w:rPr>
                <w:color w:val="000000" w:themeColor="text1"/>
                <w14:textFill>
                  <w14:solidFill>
                    <w14:schemeClr w14:val="tx1"/>
                  </w14:solidFill>
                </w14:textFill>
              </w:rPr>
              <w:t>/10km</w:t>
            </w:r>
            <w:r>
              <w:rPr>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p>
        </w:tc>
        <w:tc>
          <w:tcPr>
            <w:tcW w:w="1426" w:type="pct"/>
            <w:shd w:val="clear" w:color="auto" w:fill="auto"/>
            <w:vAlign w:val="center"/>
          </w:tcPr>
          <w:p w14:paraId="67F88343">
            <w:pPr>
              <w:pStyle w:val="180"/>
              <w:rPr>
                <w:color w:val="000000" w:themeColor="text1"/>
                <w:szCs w:val="22"/>
                <w14:textFill>
                  <w14:solidFill>
                    <w14:schemeClr w14:val="tx1"/>
                  </w14:solidFill>
                </w14:textFill>
              </w:rPr>
            </w:pPr>
            <w:r>
              <w:rPr>
                <w:rFonts w:hint="eastAsia"/>
                <w:color w:val="000000" w:themeColor="text1"/>
                <w:szCs w:val="22"/>
                <w:lang w:eastAsia="en-US"/>
                <w14:textFill>
                  <w14:solidFill>
                    <w14:schemeClr w14:val="tx1"/>
                  </w14:solidFill>
                </w14:textFill>
              </w:rPr>
              <w:t>≥</w:t>
            </w:r>
            <w:r>
              <w:rPr>
                <w:color w:val="000000" w:themeColor="text1"/>
                <w:szCs w:val="22"/>
                <w14:textFill>
                  <w14:solidFill>
                    <w14:schemeClr w14:val="tx1"/>
                  </w14:solidFill>
                </w14:textFill>
              </w:rPr>
              <w:t>10</w:t>
            </w:r>
          </w:p>
        </w:tc>
        <w:tc>
          <w:tcPr>
            <w:tcW w:w="1131" w:type="pct"/>
          </w:tcPr>
          <w:p w14:paraId="43D09DA5">
            <w:pPr>
              <w:pStyle w:val="180"/>
              <w:rPr>
                <w:rFonts w:hAnsi="宋体"/>
                <w:color w:val="000000" w:themeColor="text1"/>
                <w:szCs w:val="18"/>
                <w14:textFill>
                  <w14:solidFill>
                    <w14:schemeClr w14:val="tx1"/>
                  </w14:solidFill>
                </w14:textFill>
              </w:rPr>
            </w:pPr>
            <w:r>
              <w:rPr>
                <w:rFonts w:hint="eastAsia" w:hAnsi="宋体"/>
                <w:color w:val="000000" w:themeColor="text1"/>
                <w:szCs w:val="18"/>
                <w14:textFill>
                  <w14:solidFill>
                    <w14:schemeClr w14:val="tx1"/>
                  </w14:solidFill>
                </w14:textFill>
              </w:rPr>
              <w:t>5</w:t>
            </w:r>
          </w:p>
        </w:tc>
      </w:tr>
      <w:tr w14:paraId="7F73B6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734E7FB1">
            <w:pPr>
              <w:pStyle w:val="180"/>
              <w:rPr>
                <w:color w:val="000000" w:themeColor="text1"/>
                <w14:textFill>
                  <w14:solidFill>
                    <w14:schemeClr w14:val="tx1"/>
                  </w14:solidFill>
                </w14:textFill>
              </w:rPr>
            </w:pPr>
          </w:p>
        </w:tc>
        <w:tc>
          <w:tcPr>
            <w:tcW w:w="2012" w:type="pct"/>
            <w:gridSpan w:val="2"/>
            <w:vMerge w:val="continue"/>
            <w:shd w:val="clear" w:color="auto" w:fill="auto"/>
            <w:vAlign w:val="center"/>
          </w:tcPr>
          <w:p w14:paraId="2585B0C6">
            <w:pPr>
              <w:pStyle w:val="180"/>
              <w:rPr>
                <w:color w:val="000000" w:themeColor="text1"/>
                <w14:textFill>
                  <w14:solidFill>
                    <w14:schemeClr w14:val="tx1"/>
                  </w14:solidFill>
                </w14:textFill>
              </w:rPr>
            </w:pPr>
          </w:p>
        </w:tc>
        <w:tc>
          <w:tcPr>
            <w:tcW w:w="1426" w:type="pct"/>
            <w:shd w:val="clear" w:color="auto" w:fill="auto"/>
            <w:vAlign w:val="center"/>
          </w:tcPr>
          <w:p w14:paraId="14DB5EFE">
            <w:pPr>
              <w:pStyle w:val="180"/>
              <w:rPr>
                <w:color w:val="000000" w:themeColor="text1"/>
                <w:szCs w:val="22"/>
                <w14:textFill>
                  <w14:solidFill>
                    <w14:schemeClr w14:val="tx1"/>
                  </w14:solidFill>
                </w14:textFill>
              </w:rPr>
            </w:pPr>
            <w:r>
              <w:rPr>
                <w:color w:val="000000" w:themeColor="text1"/>
                <w:szCs w:val="22"/>
                <w14:textFill>
                  <w14:solidFill>
                    <w14:schemeClr w14:val="tx1"/>
                  </w14:solidFill>
                </w14:textFill>
              </w:rPr>
              <w:t>2</w:t>
            </w:r>
            <w:r>
              <w:rPr>
                <w:rFonts w:hint="eastAsia" w:hAnsi="宋体"/>
                <w:color w:val="000000" w:themeColor="text1"/>
                <w:szCs w:val="22"/>
                <w14:textFill>
                  <w14:solidFill>
                    <w14:schemeClr w14:val="tx1"/>
                  </w14:solidFill>
                </w14:textFill>
              </w:rPr>
              <w:t>～</w:t>
            </w:r>
            <w:r>
              <w:rPr>
                <w:color w:val="000000" w:themeColor="text1"/>
                <w:szCs w:val="22"/>
                <w14:textFill>
                  <w14:solidFill>
                    <w14:schemeClr w14:val="tx1"/>
                  </w14:solidFill>
                </w14:textFill>
              </w:rPr>
              <w:t>10</w:t>
            </w:r>
          </w:p>
        </w:tc>
        <w:tc>
          <w:tcPr>
            <w:tcW w:w="1131" w:type="pct"/>
          </w:tcPr>
          <w:p w14:paraId="3ED7FF8E">
            <w:pPr>
              <w:pStyle w:val="180"/>
              <w:rPr>
                <w:rFonts w:hAnsi="宋体"/>
                <w:color w:val="000000" w:themeColor="text1"/>
                <w:szCs w:val="18"/>
                <w14:textFill>
                  <w14:solidFill>
                    <w14:schemeClr w14:val="tx1"/>
                  </w14:solidFill>
                </w14:textFill>
              </w:rPr>
            </w:pPr>
            <w:r>
              <w:rPr>
                <w:rFonts w:hint="eastAsia" w:hAnsi="宋体"/>
                <w:color w:val="000000" w:themeColor="text1"/>
                <w:szCs w:val="18"/>
                <w14:textFill>
                  <w14:solidFill>
                    <w14:schemeClr w14:val="tx1"/>
                  </w14:solidFill>
                </w14:textFill>
              </w:rPr>
              <w:t>3</w:t>
            </w:r>
          </w:p>
        </w:tc>
      </w:tr>
      <w:tr w14:paraId="162B49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 w:hRule="atLeast"/>
          <w:jc w:val="center"/>
        </w:trPr>
        <w:tc>
          <w:tcPr>
            <w:tcW w:w="431" w:type="pct"/>
            <w:vMerge w:val="continue"/>
            <w:shd w:val="clear" w:color="auto" w:fill="auto"/>
            <w:vAlign w:val="center"/>
          </w:tcPr>
          <w:p w14:paraId="153832CF">
            <w:pPr>
              <w:pStyle w:val="180"/>
              <w:rPr>
                <w:color w:val="000000" w:themeColor="text1"/>
                <w14:textFill>
                  <w14:solidFill>
                    <w14:schemeClr w14:val="tx1"/>
                  </w14:solidFill>
                </w14:textFill>
              </w:rPr>
            </w:pPr>
          </w:p>
        </w:tc>
        <w:tc>
          <w:tcPr>
            <w:tcW w:w="2012" w:type="pct"/>
            <w:gridSpan w:val="2"/>
            <w:vMerge w:val="continue"/>
            <w:shd w:val="clear" w:color="auto" w:fill="auto"/>
            <w:vAlign w:val="center"/>
          </w:tcPr>
          <w:p w14:paraId="2801F75B">
            <w:pPr>
              <w:pStyle w:val="180"/>
              <w:rPr>
                <w:color w:val="000000" w:themeColor="text1"/>
                <w14:textFill>
                  <w14:solidFill>
                    <w14:schemeClr w14:val="tx1"/>
                  </w14:solidFill>
                </w14:textFill>
              </w:rPr>
            </w:pPr>
          </w:p>
        </w:tc>
        <w:tc>
          <w:tcPr>
            <w:tcW w:w="1426" w:type="pct"/>
            <w:shd w:val="clear" w:color="auto" w:fill="auto"/>
            <w:vAlign w:val="center"/>
          </w:tcPr>
          <w:p w14:paraId="6E7B34D3">
            <w:pPr>
              <w:pStyle w:val="180"/>
              <w:rPr>
                <w:color w:val="000000" w:themeColor="text1"/>
                <w:szCs w:val="22"/>
                <w:lang w:eastAsia="en-US"/>
                <w14:textFill>
                  <w14:solidFill>
                    <w14:schemeClr w14:val="tx1"/>
                  </w14:solidFill>
                </w14:textFill>
              </w:rPr>
            </w:pPr>
            <w:r>
              <w:rPr>
                <w:rFonts w:hint="eastAsia"/>
                <w:color w:val="000000" w:themeColor="text1"/>
                <w:szCs w:val="22"/>
                <w14:textFill>
                  <w14:solidFill>
                    <w14:schemeClr w14:val="tx1"/>
                  </w14:solidFill>
                </w14:textFill>
              </w:rPr>
              <w:t>≤2</w:t>
            </w:r>
          </w:p>
        </w:tc>
        <w:tc>
          <w:tcPr>
            <w:tcW w:w="1131" w:type="pct"/>
          </w:tcPr>
          <w:p w14:paraId="07A66988">
            <w:pPr>
              <w:pStyle w:val="180"/>
              <w:rPr>
                <w:rFonts w:hAnsi="宋体"/>
                <w:color w:val="000000" w:themeColor="text1"/>
                <w:szCs w:val="18"/>
                <w14:textFill>
                  <w14:solidFill>
                    <w14:schemeClr w14:val="tx1"/>
                  </w14:solidFill>
                </w14:textFill>
              </w:rPr>
            </w:pPr>
            <w:r>
              <w:rPr>
                <w:rFonts w:hint="eastAsia" w:hAnsi="宋体"/>
                <w:color w:val="000000" w:themeColor="text1"/>
                <w:szCs w:val="18"/>
                <w14:textFill>
                  <w14:solidFill>
                    <w14:schemeClr w14:val="tx1"/>
                  </w14:solidFill>
                </w14:textFill>
              </w:rPr>
              <w:t>1</w:t>
            </w:r>
          </w:p>
        </w:tc>
      </w:tr>
    </w:tbl>
    <w:p w14:paraId="1720CED5">
      <w:pPr>
        <w:pStyle w:val="79"/>
        <w:spacing w:before="156" w:after="156"/>
      </w:pPr>
      <w:r>
        <w:rPr>
          <w:rFonts w:ascii="Times New Roman"/>
          <w:szCs w:val="21"/>
        </w:rPr>
        <w:t>岩溶发育程度分级参考表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727"/>
        <w:gridCol w:w="3250"/>
        <w:gridCol w:w="1587"/>
        <w:gridCol w:w="1038"/>
        <w:gridCol w:w="950"/>
        <w:gridCol w:w="800"/>
        <w:gridCol w:w="982"/>
      </w:tblGrid>
      <w:tr w14:paraId="252DF7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blHeader/>
          <w:jc w:val="center"/>
        </w:trPr>
        <w:tc>
          <w:tcPr>
            <w:tcW w:w="727" w:type="dxa"/>
            <w:vMerge w:val="restart"/>
            <w:tcBorders>
              <w:top w:val="single" w:color="auto" w:sz="8" w:space="0"/>
            </w:tcBorders>
            <w:shd w:val="clear" w:color="auto" w:fill="auto"/>
            <w:vAlign w:val="center"/>
          </w:tcPr>
          <w:p w14:paraId="3357B668">
            <w:pPr>
              <w:pStyle w:val="180"/>
              <w:rPr>
                <w:szCs w:val="22"/>
              </w:rPr>
            </w:pPr>
            <w:r>
              <w:rPr>
                <w:szCs w:val="22"/>
              </w:rPr>
              <w:t>岩溶发育程度</w:t>
            </w:r>
          </w:p>
        </w:tc>
        <w:tc>
          <w:tcPr>
            <w:tcW w:w="3250" w:type="dxa"/>
            <w:vMerge w:val="restart"/>
            <w:tcBorders>
              <w:top w:val="single" w:color="auto" w:sz="8" w:space="0"/>
            </w:tcBorders>
            <w:shd w:val="clear" w:color="auto" w:fill="auto"/>
            <w:vAlign w:val="center"/>
          </w:tcPr>
          <w:p w14:paraId="46FD78F1">
            <w:pPr>
              <w:pStyle w:val="180"/>
              <w:rPr>
                <w:szCs w:val="22"/>
              </w:rPr>
            </w:pPr>
            <w:r>
              <w:rPr>
                <w:szCs w:val="22"/>
              </w:rPr>
              <w:t>特征</w:t>
            </w:r>
          </w:p>
        </w:tc>
        <w:tc>
          <w:tcPr>
            <w:tcW w:w="5357" w:type="dxa"/>
            <w:gridSpan w:val="5"/>
            <w:tcBorders>
              <w:top w:val="single" w:color="auto" w:sz="8" w:space="0"/>
              <w:bottom w:val="single" w:color="auto" w:sz="8" w:space="0"/>
            </w:tcBorders>
            <w:shd w:val="clear" w:color="auto" w:fill="auto"/>
            <w:vAlign w:val="center"/>
          </w:tcPr>
          <w:p w14:paraId="05158222">
            <w:pPr>
              <w:pStyle w:val="180"/>
              <w:rPr>
                <w:szCs w:val="22"/>
              </w:rPr>
            </w:pPr>
            <w:r>
              <w:rPr>
                <w:szCs w:val="22"/>
              </w:rPr>
              <w:t>参考指标</w:t>
            </w:r>
          </w:p>
        </w:tc>
      </w:tr>
      <w:tr w14:paraId="6C829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27" w:type="dxa"/>
            <w:vMerge w:val="continue"/>
            <w:shd w:val="clear" w:color="auto" w:fill="auto"/>
            <w:vAlign w:val="center"/>
          </w:tcPr>
          <w:p w14:paraId="6F8BBFBD">
            <w:pPr>
              <w:pStyle w:val="180"/>
              <w:rPr>
                <w:szCs w:val="22"/>
              </w:rPr>
            </w:pPr>
          </w:p>
        </w:tc>
        <w:tc>
          <w:tcPr>
            <w:tcW w:w="3250" w:type="dxa"/>
            <w:vMerge w:val="continue"/>
            <w:shd w:val="clear" w:color="auto" w:fill="auto"/>
            <w:vAlign w:val="center"/>
          </w:tcPr>
          <w:p w14:paraId="5F47B4A9">
            <w:pPr>
              <w:pStyle w:val="180"/>
              <w:rPr>
                <w:szCs w:val="22"/>
              </w:rPr>
            </w:pPr>
          </w:p>
        </w:tc>
        <w:tc>
          <w:tcPr>
            <w:tcW w:w="1587" w:type="dxa"/>
            <w:tcBorders>
              <w:top w:val="single" w:color="auto" w:sz="8" w:space="0"/>
            </w:tcBorders>
            <w:shd w:val="clear" w:color="auto" w:fill="auto"/>
            <w:vAlign w:val="center"/>
          </w:tcPr>
          <w:p w14:paraId="5CEAB31A">
            <w:pPr>
              <w:pStyle w:val="180"/>
              <w:rPr>
                <w:szCs w:val="22"/>
              </w:rPr>
            </w:pPr>
            <w:r>
              <w:rPr>
                <w:szCs w:val="22"/>
              </w:rPr>
              <w:t>地表岩溶发育密度（个/km</w:t>
            </w:r>
            <w:r>
              <w:rPr>
                <w:szCs w:val="22"/>
                <w:vertAlign w:val="superscript"/>
              </w:rPr>
              <w:t>2</w:t>
            </w:r>
            <w:r>
              <w:rPr>
                <w:szCs w:val="22"/>
              </w:rPr>
              <w:t xml:space="preserve">） </w:t>
            </w:r>
          </w:p>
        </w:tc>
        <w:tc>
          <w:tcPr>
            <w:tcW w:w="1038" w:type="dxa"/>
            <w:tcBorders>
              <w:top w:val="single" w:color="auto" w:sz="8" w:space="0"/>
            </w:tcBorders>
            <w:shd w:val="clear" w:color="auto" w:fill="auto"/>
            <w:vAlign w:val="center"/>
          </w:tcPr>
          <w:p w14:paraId="32E5C204">
            <w:pPr>
              <w:pStyle w:val="180"/>
              <w:rPr>
                <w:szCs w:val="22"/>
              </w:rPr>
            </w:pPr>
            <w:r>
              <w:rPr>
                <w:szCs w:val="22"/>
              </w:rPr>
              <w:t>钻孔岩溶率（%）</w:t>
            </w:r>
          </w:p>
        </w:tc>
        <w:tc>
          <w:tcPr>
            <w:tcW w:w="950" w:type="dxa"/>
            <w:tcBorders>
              <w:top w:val="single" w:color="auto" w:sz="8" w:space="0"/>
            </w:tcBorders>
            <w:shd w:val="clear" w:color="auto" w:fill="auto"/>
            <w:vAlign w:val="center"/>
          </w:tcPr>
          <w:p w14:paraId="3350D790">
            <w:pPr>
              <w:pStyle w:val="180"/>
              <w:rPr>
                <w:szCs w:val="22"/>
              </w:rPr>
            </w:pPr>
            <w:r>
              <w:rPr>
                <w:szCs w:val="22"/>
              </w:rPr>
              <w:t>钻孔遇洞率（%）</w:t>
            </w:r>
          </w:p>
        </w:tc>
        <w:tc>
          <w:tcPr>
            <w:tcW w:w="800" w:type="dxa"/>
            <w:tcBorders>
              <w:top w:val="single" w:color="auto" w:sz="8" w:space="0"/>
            </w:tcBorders>
            <w:shd w:val="clear" w:color="auto" w:fill="auto"/>
            <w:vAlign w:val="center"/>
          </w:tcPr>
          <w:p w14:paraId="3F6A8D6C">
            <w:pPr>
              <w:pStyle w:val="180"/>
              <w:rPr>
                <w:szCs w:val="22"/>
              </w:rPr>
            </w:pPr>
            <w:r>
              <w:rPr>
                <w:szCs w:val="22"/>
              </w:rPr>
              <w:t>泉流量（L/s）</w:t>
            </w:r>
          </w:p>
        </w:tc>
        <w:tc>
          <w:tcPr>
            <w:tcW w:w="982" w:type="dxa"/>
            <w:tcBorders>
              <w:top w:val="single" w:color="auto" w:sz="8" w:space="0"/>
            </w:tcBorders>
            <w:shd w:val="clear" w:color="auto" w:fill="auto"/>
            <w:vAlign w:val="center"/>
          </w:tcPr>
          <w:p w14:paraId="75C04777">
            <w:pPr>
              <w:pStyle w:val="180"/>
              <w:rPr>
                <w:szCs w:val="22"/>
              </w:rPr>
            </w:pPr>
            <w:r>
              <w:rPr>
                <w:szCs w:val="22"/>
              </w:rPr>
              <w:t xml:space="preserve">单位涌水量（L/s.m） </w:t>
            </w:r>
          </w:p>
        </w:tc>
      </w:tr>
      <w:tr w14:paraId="1B507C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27" w:type="dxa"/>
            <w:shd w:val="clear" w:color="auto" w:fill="auto"/>
            <w:vAlign w:val="center"/>
          </w:tcPr>
          <w:p w14:paraId="698B3D11">
            <w:pPr>
              <w:pStyle w:val="180"/>
              <w:rPr>
                <w:szCs w:val="22"/>
              </w:rPr>
            </w:pPr>
            <w:r>
              <w:rPr>
                <w:szCs w:val="22"/>
              </w:rPr>
              <w:t>强发育</w:t>
            </w:r>
          </w:p>
        </w:tc>
        <w:tc>
          <w:tcPr>
            <w:tcW w:w="3250" w:type="dxa"/>
            <w:shd w:val="clear" w:color="auto" w:fill="auto"/>
            <w:vAlign w:val="center"/>
          </w:tcPr>
          <w:p w14:paraId="1DB2AC64">
            <w:pPr>
              <w:pStyle w:val="180"/>
              <w:jc w:val="left"/>
              <w:rPr>
                <w:szCs w:val="22"/>
              </w:rPr>
            </w:pPr>
            <w:r>
              <w:rPr>
                <w:rFonts w:hint="eastAsia"/>
                <w:szCs w:val="22"/>
              </w:rPr>
              <w:t>连续状纯碳酸盐岩为主。</w:t>
            </w:r>
            <w:r>
              <w:rPr>
                <w:szCs w:val="22"/>
              </w:rPr>
              <w:t>地表有较多的洼地、漏斗、落水洞、地下溶洞发育</w:t>
            </w:r>
            <w:r>
              <w:rPr>
                <w:rFonts w:hint="eastAsia"/>
                <w:szCs w:val="22"/>
              </w:rPr>
              <w:t>。</w:t>
            </w:r>
            <w:r>
              <w:rPr>
                <w:szCs w:val="22"/>
              </w:rPr>
              <w:t>多岩溶大泉和暗河</w:t>
            </w:r>
            <w:r>
              <w:rPr>
                <w:rFonts w:hint="eastAsia"/>
                <w:szCs w:val="22"/>
              </w:rPr>
              <w:t>。</w:t>
            </w:r>
          </w:p>
        </w:tc>
        <w:tc>
          <w:tcPr>
            <w:tcW w:w="1587" w:type="dxa"/>
            <w:shd w:val="clear" w:color="auto" w:fill="auto"/>
            <w:vAlign w:val="center"/>
          </w:tcPr>
          <w:p w14:paraId="6A8C2B6D">
            <w:pPr>
              <w:pStyle w:val="180"/>
              <w:rPr>
                <w:szCs w:val="22"/>
              </w:rPr>
            </w:pPr>
            <w:r>
              <w:rPr>
                <w:rFonts w:hint="eastAsia"/>
                <w:szCs w:val="22"/>
              </w:rPr>
              <w:t>＞</w:t>
            </w:r>
            <w:r>
              <w:rPr>
                <w:szCs w:val="22"/>
              </w:rPr>
              <w:t>5</w:t>
            </w:r>
          </w:p>
        </w:tc>
        <w:tc>
          <w:tcPr>
            <w:tcW w:w="1038" w:type="dxa"/>
            <w:shd w:val="clear" w:color="auto" w:fill="auto"/>
            <w:vAlign w:val="center"/>
          </w:tcPr>
          <w:p w14:paraId="1E6AF028">
            <w:pPr>
              <w:pStyle w:val="180"/>
              <w:rPr>
                <w:szCs w:val="22"/>
              </w:rPr>
            </w:pPr>
            <w:r>
              <w:rPr>
                <w:rFonts w:hint="eastAsia"/>
                <w:szCs w:val="22"/>
              </w:rPr>
              <w:t>＞</w:t>
            </w:r>
            <w:r>
              <w:rPr>
                <w:szCs w:val="22"/>
              </w:rPr>
              <w:t>10</w:t>
            </w:r>
          </w:p>
        </w:tc>
        <w:tc>
          <w:tcPr>
            <w:tcW w:w="950" w:type="dxa"/>
            <w:shd w:val="clear" w:color="auto" w:fill="auto"/>
            <w:vAlign w:val="center"/>
          </w:tcPr>
          <w:p w14:paraId="078BF62B">
            <w:pPr>
              <w:pStyle w:val="180"/>
              <w:rPr>
                <w:szCs w:val="22"/>
              </w:rPr>
            </w:pPr>
            <w:r>
              <w:rPr>
                <w:rFonts w:hint="eastAsia"/>
                <w:szCs w:val="22"/>
              </w:rPr>
              <w:t>＞</w:t>
            </w:r>
            <w:r>
              <w:rPr>
                <w:szCs w:val="22"/>
              </w:rPr>
              <w:t>60</w:t>
            </w:r>
          </w:p>
        </w:tc>
        <w:tc>
          <w:tcPr>
            <w:tcW w:w="800" w:type="dxa"/>
            <w:shd w:val="clear" w:color="auto" w:fill="auto"/>
            <w:vAlign w:val="center"/>
          </w:tcPr>
          <w:p w14:paraId="1F6F759D">
            <w:pPr>
              <w:pStyle w:val="180"/>
              <w:rPr>
                <w:szCs w:val="22"/>
              </w:rPr>
            </w:pPr>
            <w:r>
              <w:rPr>
                <w:rFonts w:hint="eastAsia"/>
                <w:szCs w:val="22"/>
              </w:rPr>
              <w:t>＞</w:t>
            </w:r>
            <w:r>
              <w:rPr>
                <w:szCs w:val="22"/>
              </w:rPr>
              <w:t>100</w:t>
            </w:r>
          </w:p>
        </w:tc>
        <w:tc>
          <w:tcPr>
            <w:tcW w:w="982" w:type="dxa"/>
            <w:shd w:val="clear" w:color="auto" w:fill="auto"/>
            <w:vAlign w:val="center"/>
          </w:tcPr>
          <w:p w14:paraId="11FFBF09">
            <w:pPr>
              <w:pStyle w:val="180"/>
              <w:rPr>
                <w:szCs w:val="22"/>
              </w:rPr>
            </w:pPr>
            <w:r>
              <w:rPr>
                <w:rFonts w:hint="eastAsia"/>
                <w:szCs w:val="22"/>
              </w:rPr>
              <w:t>＞</w:t>
            </w:r>
            <w:r>
              <w:rPr>
                <w:szCs w:val="22"/>
              </w:rPr>
              <w:t>1</w:t>
            </w:r>
          </w:p>
        </w:tc>
      </w:tr>
      <w:tr w14:paraId="08F478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27" w:type="dxa"/>
            <w:shd w:val="clear" w:color="auto" w:fill="auto"/>
            <w:vAlign w:val="center"/>
          </w:tcPr>
          <w:p w14:paraId="79B8EE96">
            <w:pPr>
              <w:pStyle w:val="180"/>
              <w:rPr>
                <w:szCs w:val="22"/>
              </w:rPr>
            </w:pPr>
            <w:r>
              <w:rPr>
                <w:szCs w:val="22"/>
              </w:rPr>
              <w:t>中发育</w:t>
            </w:r>
          </w:p>
        </w:tc>
        <w:tc>
          <w:tcPr>
            <w:tcW w:w="3250" w:type="dxa"/>
            <w:shd w:val="clear" w:color="auto" w:fill="auto"/>
            <w:vAlign w:val="center"/>
          </w:tcPr>
          <w:p w14:paraId="46A5F6B0">
            <w:pPr>
              <w:pStyle w:val="180"/>
              <w:jc w:val="left"/>
              <w:rPr>
                <w:szCs w:val="22"/>
              </w:rPr>
            </w:pPr>
            <w:r>
              <w:rPr>
                <w:rFonts w:hint="eastAsia"/>
                <w:szCs w:val="22"/>
              </w:rPr>
              <w:t>间层状次纯碳酸盐岩为主</w:t>
            </w:r>
            <w:r>
              <w:rPr>
                <w:szCs w:val="22"/>
              </w:rPr>
              <w:t>。地表有洼地、漏斗、落水洞发育，地下洞穴不多。</w:t>
            </w:r>
            <w:r>
              <w:rPr>
                <w:rFonts w:hint="eastAsia"/>
                <w:szCs w:val="22"/>
              </w:rPr>
              <w:t>岩溶大泉、暗河较少</w:t>
            </w:r>
          </w:p>
        </w:tc>
        <w:tc>
          <w:tcPr>
            <w:tcW w:w="1587" w:type="dxa"/>
            <w:shd w:val="clear" w:color="auto" w:fill="auto"/>
            <w:vAlign w:val="center"/>
          </w:tcPr>
          <w:p w14:paraId="67F5A410">
            <w:pPr>
              <w:pStyle w:val="180"/>
              <w:rPr>
                <w:szCs w:val="22"/>
              </w:rPr>
            </w:pPr>
            <w:r>
              <w:rPr>
                <w:szCs w:val="22"/>
              </w:rPr>
              <w:t>1～5</w:t>
            </w:r>
          </w:p>
        </w:tc>
        <w:tc>
          <w:tcPr>
            <w:tcW w:w="1038" w:type="dxa"/>
            <w:shd w:val="clear" w:color="auto" w:fill="auto"/>
            <w:vAlign w:val="center"/>
          </w:tcPr>
          <w:p w14:paraId="55A3E9C1">
            <w:pPr>
              <w:pStyle w:val="180"/>
              <w:rPr>
                <w:szCs w:val="22"/>
              </w:rPr>
            </w:pPr>
            <w:r>
              <w:rPr>
                <w:szCs w:val="22"/>
              </w:rPr>
              <w:t>3～10</w:t>
            </w:r>
          </w:p>
        </w:tc>
        <w:tc>
          <w:tcPr>
            <w:tcW w:w="950" w:type="dxa"/>
            <w:shd w:val="clear" w:color="auto" w:fill="auto"/>
            <w:vAlign w:val="center"/>
          </w:tcPr>
          <w:p w14:paraId="0C4B7931">
            <w:pPr>
              <w:pStyle w:val="180"/>
              <w:rPr>
                <w:szCs w:val="22"/>
              </w:rPr>
            </w:pPr>
            <w:r>
              <w:rPr>
                <w:szCs w:val="22"/>
              </w:rPr>
              <w:t>30～60</w:t>
            </w:r>
          </w:p>
        </w:tc>
        <w:tc>
          <w:tcPr>
            <w:tcW w:w="800" w:type="dxa"/>
            <w:shd w:val="clear" w:color="auto" w:fill="auto"/>
            <w:vAlign w:val="center"/>
          </w:tcPr>
          <w:p w14:paraId="46750BBE">
            <w:pPr>
              <w:pStyle w:val="180"/>
              <w:rPr>
                <w:szCs w:val="22"/>
              </w:rPr>
            </w:pPr>
            <w:r>
              <w:rPr>
                <w:szCs w:val="22"/>
              </w:rPr>
              <w:t>10～100</w:t>
            </w:r>
          </w:p>
        </w:tc>
        <w:tc>
          <w:tcPr>
            <w:tcW w:w="982" w:type="dxa"/>
            <w:shd w:val="clear" w:color="auto" w:fill="auto"/>
            <w:vAlign w:val="center"/>
          </w:tcPr>
          <w:p w14:paraId="135041AE">
            <w:pPr>
              <w:pStyle w:val="180"/>
              <w:rPr>
                <w:szCs w:val="22"/>
              </w:rPr>
            </w:pPr>
            <w:r>
              <w:rPr>
                <w:szCs w:val="22"/>
              </w:rPr>
              <w:t>0.1～1</w:t>
            </w:r>
          </w:p>
        </w:tc>
      </w:tr>
      <w:tr w14:paraId="5F8B69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27" w:type="dxa"/>
            <w:shd w:val="clear" w:color="auto" w:fill="auto"/>
            <w:vAlign w:val="center"/>
          </w:tcPr>
          <w:p w14:paraId="25CEA403">
            <w:pPr>
              <w:pStyle w:val="180"/>
              <w:rPr>
                <w:szCs w:val="22"/>
              </w:rPr>
            </w:pPr>
            <w:r>
              <w:rPr>
                <w:szCs w:val="22"/>
              </w:rPr>
              <w:t>弱发育</w:t>
            </w:r>
          </w:p>
        </w:tc>
        <w:tc>
          <w:tcPr>
            <w:tcW w:w="3250" w:type="dxa"/>
            <w:shd w:val="clear" w:color="auto" w:fill="auto"/>
            <w:vAlign w:val="center"/>
          </w:tcPr>
          <w:p w14:paraId="0376D11F">
            <w:pPr>
              <w:pStyle w:val="180"/>
              <w:jc w:val="left"/>
              <w:rPr>
                <w:szCs w:val="22"/>
              </w:rPr>
            </w:pPr>
            <w:r>
              <w:rPr>
                <w:rFonts w:hint="eastAsia"/>
                <w:szCs w:val="22"/>
              </w:rPr>
              <w:t>夹层状不纯碳酸盐岩为主</w:t>
            </w:r>
            <w:r>
              <w:rPr>
                <w:szCs w:val="22"/>
              </w:rPr>
              <w:t>。</w:t>
            </w:r>
            <w:r>
              <w:rPr>
                <w:rFonts w:hint="eastAsia"/>
                <w:szCs w:val="22"/>
              </w:rPr>
              <w:t>岩溶形态稀疏发育，地下洞穴较少。无岩溶大泉及暗河。</w:t>
            </w:r>
          </w:p>
        </w:tc>
        <w:tc>
          <w:tcPr>
            <w:tcW w:w="1587" w:type="dxa"/>
            <w:shd w:val="clear" w:color="auto" w:fill="auto"/>
            <w:vAlign w:val="center"/>
          </w:tcPr>
          <w:p w14:paraId="0041576D">
            <w:pPr>
              <w:pStyle w:val="180"/>
              <w:rPr>
                <w:szCs w:val="22"/>
              </w:rPr>
            </w:pPr>
            <w:r>
              <w:rPr>
                <w:rFonts w:hint="eastAsia"/>
                <w:szCs w:val="22"/>
              </w:rPr>
              <w:t>＜</w:t>
            </w:r>
            <w:r>
              <w:rPr>
                <w:szCs w:val="22"/>
              </w:rPr>
              <w:t>1</w:t>
            </w:r>
          </w:p>
        </w:tc>
        <w:tc>
          <w:tcPr>
            <w:tcW w:w="1038" w:type="dxa"/>
            <w:shd w:val="clear" w:color="auto" w:fill="auto"/>
            <w:vAlign w:val="center"/>
          </w:tcPr>
          <w:p w14:paraId="65C396CF">
            <w:pPr>
              <w:pStyle w:val="180"/>
              <w:rPr>
                <w:szCs w:val="22"/>
              </w:rPr>
            </w:pPr>
            <w:r>
              <w:rPr>
                <w:rFonts w:hint="eastAsia"/>
                <w:szCs w:val="22"/>
              </w:rPr>
              <w:t>＜</w:t>
            </w:r>
            <w:r>
              <w:rPr>
                <w:szCs w:val="22"/>
              </w:rPr>
              <w:t>3</w:t>
            </w:r>
          </w:p>
        </w:tc>
        <w:tc>
          <w:tcPr>
            <w:tcW w:w="950" w:type="dxa"/>
            <w:shd w:val="clear" w:color="auto" w:fill="auto"/>
            <w:vAlign w:val="center"/>
          </w:tcPr>
          <w:p w14:paraId="1B7D7578">
            <w:pPr>
              <w:pStyle w:val="180"/>
              <w:rPr>
                <w:szCs w:val="22"/>
              </w:rPr>
            </w:pPr>
            <w:r>
              <w:rPr>
                <w:rFonts w:hint="eastAsia"/>
                <w:szCs w:val="22"/>
              </w:rPr>
              <w:t>＜</w:t>
            </w:r>
            <w:r>
              <w:rPr>
                <w:szCs w:val="22"/>
              </w:rPr>
              <w:t>30</w:t>
            </w:r>
          </w:p>
        </w:tc>
        <w:tc>
          <w:tcPr>
            <w:tcW w:w="800" w:type="dxa"/>
            <w:shd w:val="clear" w:color="auto" w:fill="auto"/>
            <w:vAlign w:val="center"/>
          </w:tcPr>
          <w:p w14:paraId="37103E88">
            <w:pPr>
              <w:pStyle w:val="180"/>
              <w:rPr>
                <w:szCs w:val="22"/>
              </w:rPr>
            </w:pPr>
            <w:r>
              <w:rPr>
                <w:rFonts w:hint="eastAsia"/>
                <w:szCs w:val="22"/>
              </w:rPr>
              <w:t>＜</w:t>
            </w:r>
            <w:r>
              <w:rPr>
                <w:szCs w:val="22"/>
              </w:rPr>
              <w:t>10</w:t>
            </w:r>
          </w:p>
        </w:tc>
        <w:tc>
          <w:tcPr>
            <w:tcW w:w="982" w:type="dxa"/>
            <w:shd w:val="clear" w:color="auto" w:fill="auto"/>
            <w:vAlign w:val="center"/>
          </w:tcPr>
          <w:p w14:paraId="053BBB41">
            <w:pPr>
              <w:pStyle w:val="180"/>
              <w:rPr>
                <w:szCs w:val="22"/>
              </w:rPr>
            </w:pPr>
            <w:r>
              <w:rPr>
                <w:rFonts w:hint="eastAsia"/>
                <w:szCs w:val="22"/>
              </w:rPr>
              <w:t>＜</w:t>
            </w:r>
            <w:r>
              <w:rPr>
                <w:szCs w:val="22"/>
              </w:rPr>
              <w:t>0.1</w:t>
            </w:r>
          </w:p>
        </w:tc>
      </w:tr>
      <w:tr w14:paraId="526529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14" w:hRule="atLeast"/>
          <w:jc w:val="center"/>
        </w:trPr>
        <w:tc>
          <w:tcPr>
            <w:tcW w:w="9334" w:type="dxa"/>
            <w:gridSpan w:val="7"/>
            <w:shd w:val="clear" w:color="auto" w:fill="auto"/>
            <w:vAlign w:val="center"/>
          </w:tcPr>
          <w:p w14:paraId="026AB317">
            <w:pPr>
              <w:pStyle w:val="181"/>
            </w:pPr>
            <w:r>
              <w:rPr>
                <w:rFonts w:hint="eastAsia"/>
                <w:lang w:bidi="ar"/>
              </w:rPr>
              <w:t>钻孔岩溶率是指地表下 l00m 或基岩面下 50m 以内孔段统计数；对于孔深 100m 以上全孔岩溶率，指标减半。</w:t>
            </w:r>
          </w:p>
        </w:tc>
      </w:tr>
    </w:tbl>
    <w:p w14:paraId="06A73E0B">
      <w:pPr>
        <w:pStyle w:val="79"/>
        <w:spacing w:before="156" w:after="156"/>
      </w:pPr>
      <w:r>
        <w:rPr>
          <w:rFonts w:ascii="Times New Roman"/>
          <w:szCs w:val="21"/>
        </w:rPr>
        <w:t>采空塌陷易发性评价指标选取参考表</w:t>
      </w:r>
    </w:p>
    <w:tbl>
      <w:tblPr>
        <w:tblStyle w:val="29"/>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44"/>
        <w:gridCol w:w="1241"/>
        <w:gridCol w:w="2123"/>
        <w:gridCol w:w="3342"/>
        <w:gridCol w:w="1721"/>
      </w:tblGrid>
      <w:tr w14:paraId="2CD14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504" w:type="pct"/>
            <w:vMerge w:val="restart"/>
            <w:shd w:val="clear" w:color="auto" w:fill="auto"/>
            <w:vAlign w:val="center"/>
          </w:tcPr>
          <w:p w14:paraId="2C6585EC">
            <w:pPr>
              <w:pStyle w:val="180"/>
              <w:rPr>
                <w:rFonts w:hAnsi="宋体"/>
              </w:rPr>
            </w:pPr>
            <w:r>
              <w:rPr>
                <w:rFonts w:hint="eastAsia" w:hAnsi="宋体"/>
                <w:szCs w:val="18"/>
              </w:rPr>
              <w:t>序号</w:t>
            </w:r>
          </w:p>
        </w:tc>
        <w:tc>
          <w:tcPr>
            <w:tcW w:w="4496" w:type="pct"/>
            <w:gridSpan w:val="4"/>
            <w:shd w:val="clear" w:color="auto" w:fill="auto"/>
            <w:vAlign w:val="center"/>
          </w:tcPr>
          <w:p w14:paraId="4DCF8294">
            <w:pPr>
              <w:pStyle w:val="180"/>
              <w:rPr>
                <w:rFonts w:hAnsi="宋体"/>
                <w:szCs w:val="18"/>
              </w:rPr>
            </w:pPr>
            <w:r>
              <w:rPr>
                <w:rFonts w:hAnsi="宋体"/>
                <w:szCs w:val="18"/>
              </w:rPr>
              <w:t>指标类型</w:t>
            </w:r>
            <w:r>
              <w:rPr>
                <w:rFonts w:hint="eastAsia" w:hAnsi="宋体"/>
                <w:szCs w:val="18"/>
              </w:rPr>
              <w:t>取值（</w:t>
            </w:r>
            <w:r>
              <w:rPr>
                <w:rFonts w:ascii="Times New Roman"/>
                <w:iCs/>
              </w:rPr>
              <w:t>θ</w:t>
            </w:r>
            <w:r>
              <w:rPr>
                <w:rFonts w:hint="eastAsia" w:hAnsi="宋体"/>
                <w:szCs w:val="18"/>
              </w:rPr>
              <w:t>）</w:t>
            </w:r>
          </w:p>
        </w:tc>
      </w:tr>
      <w:tr w14:paraId="14FC1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74473809">
            <w:pPr>
              <w:pStyle w:val="180"/>
              <w:rPr>
                <w:rFonts w:hAnsi="宋体"/>
              </w:rPr>
            </w:pPr>
          </w:p>
        </w:tc>
        <w:tc>
          <w:tcPr>
            <w:tcW w:w="662" w:type="pct"/>
            <w:shd w:val="clear" w:color="auto" w:fill="auto"/>
            <w:vAlign w:val="center"/>
          </w:tcPr>
          <w:p w14:paraId="6B3DAE3F">
            <w:pPr>
              <w:pStyle w:val="180"/>
              <w:rPr>
                <w:rFonts w:hAnsi="宋体"/>
              </w:rPr>
            </w:pPr>
            <w:r>
              <w:rPr>
                <w:rFonts w:hint="eastAsia" w:hAnsi="宋体"/>
                <w:szCs w:val="18"/>
              </w:rPr>
              <w:t>一级指标</w:t>
            </w:r>
          </w:p>
        </w:tc>
        <w:tc>
          <w:tcPr>
            <w:tcW w:w="1133" w:type="pct"/>
            <w:shd w:val="clear" w:color="auto" w:fill="auto"/>
            <w:vAlign w:val="center"/>
          </w:tcPr>
          <w:p w14:paraId="3852A631">
            <w:pPr>
              <w:pStyle w:val="180"/>
              <w:rPr>
                <w:rFonts w:hAnsi="宋体"/>
              </w:rPr>
            </w:pPr>
            <w:r>
              <w:rPr>
                <w:rFonts w:hint="eastAsia" w:hAnsi="宋体"/>
                <w:szCs w:val="18"/>
              </w:rPr>
              <w:t>二级指标</w:t>
            </w:r>
          </w:p>
        </w:tc>
        <w:tc>
          <w:tcPr>
            <w:tcW w:w="1783" w:type="pct"/>
            <w:shd w:val="clear" w:color="auto" w:fill="auto"/>
            <w:vAlign w:val="center"/>
          </w:tcPr>
          <w:p w14:paraId="55BE70A7">
            <w:pPr>
              <w:pStyle w:val="180"/>
              <w:rPr>
                <w:rFonts w:hAnsi="宋体"/>
              </w:rPr>
            </w:pPr>
            <w:r>
              <w:rPr>
                <w:rFonts w:hint="eastAsia" w:hAnsi="宋体"/>
                <w:szCs w:val="18"/>
              </w:rPr>
              <w:t>三级指标</w:t>
            </w:r>
          </w:p>
        </w:tc>
        <w:tc>
          <w:tcPr>
            <w:tcW w:w="918" w:type="pct"/>
          </w:tcPr>
          <w:p w14:paraId="05F4A21E">
            <w:pPr>
              <w:pStyle w:val="180"/>
              <w:rPr>
                <w:rFonts w:hAnsi="宋体"/>
                <w:szCs w:val="18"/>
              </w:rPr>
            </w:pPr>
            <w:r>
              <w:rPr>
                <w:rFonts w:hint="eastAsia" w:hAnsi="宋体"/>
                <w:szCs w:val="18"/>
              </w:rPr>
              <w:t>取值</w:t>
            </w:r>
          </w:p>
        </w:tc>
      </w:tr>
      <w:tr w14:paraId="49FEC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272B3140">
            <w:pPr>
              <w:pStyle w:val="180"/>
              <w:rPr>
                <w:rFonts w:hAnsi="宋体"/>
              </w:rPr>
            </w:pPr>
            <w:r>
              <w:rPr>
                <w:rFonts w:hint="eastAsia" w:hAnsi="宋体"/>
                <w:strike/>
              </w:rPr>
              <w:t>1</w:t>
            </w:r>
          </w:p>
        </w:tc>
        <w:tc>
          <w:tcPr>
            <w:tcW w:w="662" w:type="pct"/>
            <w:vMerge w:val="restart"/>
            <w:shd w:val="clear" w:color="auto" w:fill="auto"/>
            <w:vAlign w:val="center"/>
          </w:tcPr>
          <w:p w14:paraId="3F0D3DCA">
            <w:pPr>
              <w:pStyle w:val="180"/>
              <w:rPr>
                <w:rFonts w:hAnsi="宋体"/>
              </w:rPr>
            </w:pPr>
            <w:r>
              <w:rPr>
                <w:rFonts w:hint="eastAsia" w:hAnsi="宋体"/>
                <w:szCs w:val="18"/>
              </w:rPr>
              <w:t>场地条件</w:t>
            </w:r>
          </w:p>
        </w:tc>
        <w:tc>
          <w:tcPr>
            <w:tcW w:w="1133" w:type="pct"/>
            <w:vMerge w:val="restart"/>
            <w:shd w:val="clear" w:color="auto" w:fill="auto"/>
            <w:vAlign w:val="center"/>
          </w:tcPr>
          <w:p w14:paraId="7A084A8B">
            <w:pPr>
              <w:pStyle w:val="180"/>
              <w:rPr>
                <w:rFonts w:hAnsi="宋体"/>
                <w:strike/>
              </w:rPr>
            </w:pPr>
            <w:r>
              <w:rPr>
                <w:rFonts w:hint="eastAsia"/>
              </w:rPr>
              <w:t>顶板</w:t>
            </w:r>
            <w:r>
              <w:t>岩</w:t>
            </w:r>
            <w:r>
              <w:rPr>
                <w:rFonts w:hint="eastAsia"/>
              </w:rPr>
              <w:t>体</w:t>
            </w:r>
            <w:r>
              <w:t>结构</w:t>
            </w:r>
          </w:p>
        </w:tc>
        <w:tc>
          <w:tcPr>
            <w:tcW w:w="1783" w:type="pct"/>
            <w:shd w:val="clear" w:color="auto" w:fill="auto"/>
            <w:vAlign w:val="center"/>
          </w:tcPr>
          <w:p w14:paraId="2B20A05F">
            <w:pPr>
              <w:pStyle w:val="180"/>
              <w:rPr>
                <w:rFonts w:hAnsi="宋体"/>
                <w:strike/>
              </w:rPr>
            </w:pPr>
            <w:r>
              <w:t>碎裂</w:t>
            </w:r>
            <w:r>
              <w:rPr>
                <w:rFonts w:hint="eastAsia"/>
              </w:rPr>
              <w:t>、散体</w:t>
            </w:r>
            <w:r>
              <w:t>结构</w:t>
            </w:r>
          </w:p>
        </w:tc>
        <w:tc>
          <w:tcPr>
            <w:tcW w:w="918" w:type="pct"/>
          </w:tcPr>
          <w:p w14:paraId="1DB52951">
            <w:pPr>
              <w:pStyle w:val="180"/>
              <w:rPr>
                <w:rFonts w:hAnsi="宋体"/>
                <w:strike/>
                <w:szCs w:val="18"/>
              </w:rPr>
            </w:pPr>
            <w:r>
              <w:rPr>
                <w:rFonts w:hint="eastAsia" w:hAnsi="宋体"/>
                <w:strike/>
                <w:szCs w:val="18"/>
              </w:rPr>
              <w:t>5</w:t>
            </w:r>
          </w:p>
        </w:tc>
      </w:tr>
      <w:tr w14:paraId="47EBE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4D86B290">
            <w:pPr>
              <w:pStyle w:val="180"/>
              <w:rPr>
                <w:rFonts w:hAnsi="宋体"/>
              </w:rPr>
            </w:pPr>
          </w:p>
        </w:tc>
        <w:tc>
          <w:tcPr>
            <w:tcW w:w="662" w:type="pct"/>
            <w:vMerge w:val="continue"/>
            <w:shd w:val="clear" w:color="auto" w:fill="auto"/>
            <w:vAlign w:val="center"/>
          </w:tcPr>
          <w:p w14:paraId="437D1814">
            <w:pPr>
              <w:pStyle w:val="180"/>
              <w:rPr>
                <w:rFonts w:hAnsi="宋体"/>
              </w:rPr>
            </w:pPr>
          </w:p>
        </w:tc>
        <w:tc>
          <w:tcPr>
            <w:tcW w:w="1133" w:type="pct"/>
            <w:vMerge w:val="continue"/>
            <w:shd w:val="clear" w:color="auto" w:fill="auto"/>
            <w:vAlign w:val="center"/>
          </w:tcPr>
          <w:p w14:paraId="311181F8">
            <w:pPr>
              <w:pStyle w:val="180"/>
              <w:rPr>
                <w:rFonts w:hAnsi="宋体"/>
                <w:strike/>
              </w:rPr>
            </w:pPr>
          </w:p>
        </w:tc>
        <w:tc>
          <w:tcPr>
            <w:tcW w:w="1783" w:type="pct"/>
            <w:shd w:val="clear" w:color="auto" w:fill="auto"/>
            <w:vAlign w:val="center"/>
          </w:tcPr>
          <w:p w14:paraId="07B3E49C">
            <w:pPr>
              <w:pStyle w:val="180"/>
              <w:rPr>
                <w:rFonts w:hAnsi="宋体"/>
                <w:strike/>
              </w:rPr>
            </w:pPr>
            <w:r>
              <w:t>层状结构</w:t>
            </w:r>
          </w:p>
        </w:tc>
        <w:tc>
          <w:tcPr>
            <w:tcW w:w="918" w:type="pct"/>
          </w:tcPr>
          <w:p w14:paraId="1B55DC29">
            <w:pPr>
              <w:pStyle w:val="180"/>
              <w:rPr>
                <w:rFonts w:hAnsi="宋体"/>
                <w:strike/>
                <w:szCs w:val="18"/>
              </w:rPr>
            </w:pPr>
            <w:r>
              <w:rPr>
                <w:rFonts w:hint="eastAsia" w:hAnsi="宋体"/>
                <w:strike/>
                <w:szCs w:val="18"/>
              </w:rPr>
              <w:t>3</w:t>
            </w:r>
          </w:p>
        </w:tc>
      </w:tr>
      <w:tr w14:paraId="59D3D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3F03B234">
            <w:pPr>
              <w:pStyle w:val="180"/>
              <w:rPr>
                <w:rFonts w:hAnsi="宋体"/>
              </w:rPr>
            </w:pPr>
          </w:p>
        </w:tc>
        <w:tc>
          <w:tcPr>
            <w:tcW w:w="662" w:type="pct"/>
            <w:vMerge w:val="continue"/>
            <w:shd w:val="clear" w:color="auto" w:fill="auto"/>
            <w:vAlign w:val="center"/>
          </w:tcPr>
          <w:p w14:paraId="0BD853E7">
            <w:pPr>
              <w:pStyle w:val="180"/>
              <w:rPr>
                <w:rFonts w:hAnsi="宋体"/>
              </w:rPr>
            </w:pPr>
          </w:p>
        </w:tc>
        <w:tc>
          <w:tcPr>
            <w:tcW w:w="1133" w:type="pct"/>
            <w:vMerge w:val="continue"/>
            <w:shd w:val="clear" w:color="auto" w:fill="auto"/>
            <w:vAlign w:val="center"/>
          </w:tcPr>
          <w:p w14:paraId="051784B0">
            <w:pPr>
              <w:pStyle w:val="180"/>
              <w:rPr>
                <w:rFonts w:hAnsi="宋体"/>
                <w:strike/>
              </w:rPr>
            </w:pPr>
          </w:p>
        </w:tc>
        <w:tc>
          <w:tcPr>
            <w:tcW w:w="1783" w:type="pct"/>
            <w:shd w:val="clear" w:color="auto" w:fill="auto"/>
            <w:vAlign w:val="center"/>
          </w:tcPr>
          <w:p w14:paraId="7249F727">
            <w:pPr>
              <w:pStyle w:val="180"/>
              <w:rPr>
                <w:rFonts w:hAnsi="宋体"/>
                <w:strike/>
              </w:rPr>
            </w:pPr>
            <w:r>
              <w:rPr>
                <w:rFonts w:hint="eastAsia"/>
              </w:rPr>
              <w:t>整体状、块</w:t>
            </w:r>
            <w:r>
              <w:t>状结构</w:t>
            </w:r>
          </w:p>
        </w:tc>
        <w:tc>
          <w:tcPr>
            <w:tcW w:w="918" w:type="pct"/>
          </w:tcPr>
          <w:p w14:paraId="1A9B7B3F">
            <w:pPr>
              <w:pStyle w:val="180"/>
              <w:rPr>
                <w:rFonts w:hAnsi="宋体"/>
                <w:strike/>
                <w:szCs w:val="18"/>
              </w:rPr>
            </w:pPr>
            <w:r>
              <w:rPr>
                <w:rFonts w:hint="eastAsia" w:hAnsi="宋体"/>
                <w:strike/>
                <w:szCs w:val="18"/>
              </w:rPr>
              <w:t>1</w:t>
            </w:r>
          </w:p>
        </w:tc>
      </w:tr>
      <w:tr w14:paraId="030AD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301B148B">
            <w:pPr>
              <w:pStyle w:val="180"/>
              <w:rPr>
                <w:rFonts w:hAnsi="宋体"/>
              </w:rPr>
            </w:pPr>
            <w:r>
              <w:rPr>
                <w:rFonts w:hint="eastAsia" w:hAnsi="宋体"/>
              </w:rPr>
              <w:t>2</w:t>
            </w:r>
          </w:p>
        </w:tc>
        <w:tc>
          <w:tcPr>
            <w:tcW w:w="662" w:type="pct"/>
            <w:vMerge w:val="continue"/>
            <w:shd w:val="clear" w:color="auto" w:fill="auto"/>
            <w:vAlign w:val="center"/>
          </w:tcPr>
          <w:p w14:paraId="19EFDD0F">
            <w:pPr>
              <w:pStyle w:val="180"/>
              <w:rPr>
                <w:rFonts w:hAnsi="宋体"/>
              </w:rPr>
            </w:pPr>
          </w:p>
        </w:tc>
        <w:tc>
          <w:tcPr>
            <w:tcW w:w="1133" w:type="pct"/>
            <w:vMerge w:val="restart"/>
            <w:shd w:val="clear" w:color="auto" w:fill="auto"/>
            <w:vAlign w:val="center"/>
          </w:tcPr>
          <w:p w14:paraId="220043A5">
            <w:pPr>
              <w:pStyle w:val="180"/>
              <w:rPr>
                <w:rFonts w:hAnsi="宋体"/>
              </w:rPr>
            </w:pPr>
            <w:r>
              <w:rPr>
                <w:rFonts w:hint="eastAsia"/>
              </w:rPr>
              <w:t>顶板</w:t>
            </w:r>
            <w:r>
              <w:t>岩石质量指标</w:t>
            </w:r>
            <w:r>
              <w:rPr>
                <w:rFonts w:hint="eastAsia"/>
              </w:rPr>
              <w:t>（</w:t>
            </w:r>
            <w:r>
              <w:t>%</w:t>
            </w:r>
            <w:r>
              <w:rPr>
                <w:rFonts w:hint="eastAsia"/>
              </w:rPr>
              <w:t>）</w:t>
            </w:r>
          </w:p>
        </w:tc>
        <w:tc>
          <w:tcPr>
            <w:tcW w:w="1783" w:type="pct"/>
            <w:shd w:val="clear" w:color="auto" w:fill="auto"/>
            <w:vAlign w:val="center"/>
          </w:tcPr>
          <w:p w14:paraId="7F2FD772">
            <w:pPr>
              <w:pStyle w:val="180"/>
              <w:rPr>
                <w:rFonts w:hAnsi="宋体"/>
              </w:rPr>
            </w:pPr>
            <w:r>
              <w:rPr>
                <w:rFonts w:hint="eastAsia"/>
              </w:rPr>
              <w:t>＜40</w:t>
            </w:r>
          </w:p>
        </w:tc>
        <w:tc>
          <w:tcPr>
            <w:tcW w:w="918" w:type="pct"/>
          </w:tcPr>
          <w:p w14:paraId="69692DB1">
            <w:pPr>
              <w:pStyle w:val="180"/>
              <w:rPr>
                <w:rFonts w:hAnsi="宋体"/>
                <w:szCs w:val="18"/>
              </w:rPr>
            </w:pPr>
            <w:r>
              <w:rPr>
                <w:rFonts w:hint="eastAsia" w:hAnsi="宋体"/>
                <w:szCs w:val="18"/>
              </w:rPr>
              <w:t>5</w:t>
            </w:r>
          </w:p>
        </w:tc>
      </w:tr>
      <w:tr w14:paraId="17B2C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51783D31">
            <w:pPr>
              <w:pStyle w:val="180"/>
              <w:rPr>
                <w:rFonts w:hAnsi="宋体"/>
              </w:rPr>
            </w:pPr>
          </w:p>
        </w:tc>
        <w:tc>
          <w:tcPr>
            <w:tcW w:w="662" w:type="pct"/>
            <w:vMerge w:val="continue"/>
            <w:shd w:val="clear" w:color="auto" w:fill="auto"/>
            <w:vAlign w:val="center"/>
          </w:tcPr>
          <w:p w14:paraId="0CD066C9">
            <w:pPr>
              <w:pStyle w:val="180"/>
              <w:rPr>
                <w:rFonts w:hAnsi="宋体"/>
              </w:rPr>
            </w:pPr>
          </w:p>
        </w:tc>
        <w:tc>
          <w:tcPr>
            <w:tcW w:w="1133" w:type="pct"/>
            <w:vMerge w:val="continue"/>
            <w:shd w:val="clear" w:color="auto" w:fill="auto"/>
            <w:vAlign w:val="center"/>
          </w:tcPr>
          <w:p w14:paraId="3203D94E">
            <w:pPr>
              <w:pStyle w:val="180"/>
              <w:rPr>
                <w:rFonts w:hAnsi="宋体"/>
              </w:rPr>
            </w:pPr>
          </w:p>
        </w:tc>
        <w:tc>
          <w:tcPr>
            <w:tcW w:w="1783" w:type="pct"/>
            <w:shd w:val="clear" w:color="auto" w:fill="auto"/>
            <w:vAlign w:val="center"/>
          </w:tcPr>
          <w:p w14:paraId="58B44639">
            <w:pPr>
              <w:pStyle w:val="180"/>
              <w:rPr>
                <w:rFonts w:hAnsi="宋体"/>
              </w:rPr>
            </w:pPr>
            <w:r>
              <w:rPr>
                <w:rFonts w:hint="eastAsia"/>
              </w:rPr>
              <w:t>4</w:t>
            </w:r>
            <w:r>
              <w:t>0</w:t>
            </w:r>
            <w:r>
              <w:rPr>
                <w:rFonts w:hint="eastAsia"/>
              </w:rPr>
              <w:t>～</w:t>
            </w:r>
            <w:r>
              <w:t>60</w:t>
            </w:r>
          </w:p>
        </w:tc>
        <w:tc>
          <w:tcPr>
            <w:tcW w:w="918" w:type="pct"/>
          </w:tcPr>
          <w:p w14:paraId="16F6DE16">
            <w:pPr>
              <w:pStyle w:val="180"/>
              <w:rPr>
                <w:rFonts w:hAnsi="宋体"/>
                <w:szCs w:val="18"/>
              </w:rPr>
            </w:pPr>
            <w:r>
              <w:rPr>
                <w:rFonts w:hint="eastAsia" w:hAnsi="宋体"/>
                <w:szCs w:val="18"/>
              </w:rPr>
              <w:t>3</w:t>
            </w:r>
          </w:p>
        </w:tc>
      </w:tr>
      <w:tr w14:paraId="4096A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504" w:type="pct"/>
            <w:vMerge w:val="continue"/>
            <w:shd w:val="clear" w:color="auto" w:fill="auto"/>
            <w:vAlign w:val="center"/>
          </w:tcPr>
          <w:p w14:paraId="3FE0EBF5">
            <w:pPr>
              <w:pStyle w:val="180"/>
              <w:rPr>
                <w:rFonts w:hAnsi="宋体"/>
              </w:rPr>
            </w:pPr>
          </w:p>
        </w:tc>
        <w:tc>
          <w:tcPr>
            <w:tcW w:w="662" w:type="pct"/>
            <w:vMerge w:val="continue"/>
            <w:shd w:val="clear" w:color="auto" w:fill="auto"/>
            <w:vAlign w:val="center"/>
          </w:tcPr>
          <w:p w14:paraId="32C8F790">
            <w:pPr>
              <w:pStyle w:val="180"/>
              <w:rPr>
                <w:rFonts w:hAnsi="宋体"/>
              </w:rPr>
            </w:pPr>
          </w:p>
        </w:tc>
        <w:tc>
          <w:tcPr>
            <w:tcW w:w="1133" w:type="pct"/>
            <w:vMerge w:val="continue"/>
            <w:shd w:val="clear" w:color="auto" w:fill="auto"/>
            <w:vAlign w:val="center"/>
          </w:tcPr>
          <w:p w14:paraId="62CE15D1">
            <w:pPr>
              <w:pStyle w:val="180"/>
              <w:rPr>
                <w:rFonts w:hAnsi="宋体"/>
              </w:rPr>
            </w:pPr>
          </w:p>
        </w:tc>
        <w:tc>
          <w:tcPr>
            <w:tcW w:w="1783" w:type="pct"/>
            <w:shd w:val="clear" w:color="auto" w:fill="auto"/>
            <w:vAlign w:val="center"/>
          </w:tcPr>
          <w:p w14:paraId="1727F035">
            <w:pPr>
              <w:pStyle w:val="180"/>
              <w:rPr>
                <w:rFonts w:hAnsi="宋体"/>
              </w:rPr>
            </w:pPr>
            <w:r>
              <w:rPr>
                <w:rFonts w:hint="eastAsia"/>
              </w:rPr>
              <w:t>≥</w:t>
            </w:r>
            <w:r>
              <w:t>60</w:t>
            </w:r>
          </w:p>
        </w:tc>
        <w:tc>
          <w:tcPr>
            <w:tcW w:w="918" w:type="pct"/>
          </w:tcPr>
          <w:p w14:paraId="7236EFB3">
            <w:pPr>
              <w:pStyle w:val="180"/>
              <w:rPr>
                <w:rFonts w:hAnsi="宋体"/>
                <w:szCs w:val="18"/>
              </w:rPr>
            </w:pPr>
            <w:r>
              <w:rPr>
                <w:rFonts w:hint="eastAsia" w:hAnsi="宋体"/>
                <w:szCs w:val="18"/>
              </w:rPr>
              <w:t>1</w:t>
            </w:r>
          </w:p>
        </w:tc>
      </w:tr>
      <w:tr w14:paraId="1A05A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6F798B7C">
            <w:pPr>
              <w:pStyle w:val="180"/>
              <w:rPr>
                <w:rFonts w:hAnsi="宋体"/>
              </w:rPr>
            </w:pPr>
            <w:r>
              <w:rPr>
                <w:rFonts w:hint="eastAsia" w:hAnsi="宋体"/>
              </w:rPr>
              <w:t>3</w:t>
            </w:r>
          </w:p>
        </w:tc>
        <w:tc>
          <w:tcPr>
            <w:tcW w:w="662" w:type="pct"/>
            <w:vMerge w:val="continue"/>
            <w:shd w:val="clear" w:color="auto" w:fill="auto"/>
            <w:vAlign w:val="center"/>
          </w:tcPr>
          <w:p w14:paraId="24E903FE">
            <w:pPr>
              <w:pStyle w:val="180"/>
              <w:rPr>
                <w:rFonts w:hAnsi="宋体"/>
              </w:rPr>
            </w:pPr>
          </w:p>
        </w:tc>
        <w:tc>
          <w:tcPr>
            <w:tcW w:w="1133" w:type="pct"/>
            <w:vMerge w:val="restart"/>
            <w:shd w:val="clear" w:color="auto" w:fill="auto"/>
            <w:vAlign w:val="center"/>
          </w:tcPr>
          <w:p w14:paraId="1A4AE923">
            <w:pPr>
              <w:pStyle w:val="180"/>
              <w:rPr>
                <w:rFonts w:hAnsi="宋体"/>
              </w:rPr>
            </w:pPr>
            <w:r>
              <w:rPr>
                <w:rFonts w:hint="eastAsia"/>
              </w:rPr>
              <w:t>地下水作用</w:t>
            </w:r>
          </w:p>
        </w:tc>
        <w:tc>
          <w:tcPr>
            <w:tcW w:w="1783" w:type="pct"/>
            <w:shd w:val="clear" w:color="auto" w:fill="auto"/>
            <w:vAlign w:val="center"/>
          </w:tcPr>
          <w:p w14:paraId="46DEB097">
            <w:pPr>
              <w:pStyle w:val="180"/>
              <w:rPr>
                <w:rFonts w:hAnsi="宋体"/>
                <w:szCs w:val="18"/>
              </w:rPr>
            </w:pPr>
            <w:r>
              <w:rPr>
                <w:rFonts w:hint="eastAsia"/>
              </w:rPr>
              <w:t>地下水软化、泥化作用显著，渗流可能引起化学管涌和机械管涌</w:t>
            </w:r>
          </w:p>
        </w:tc>
        <w:tc>
          <w:tcPr>
            <w:tcW w:w="918" w:type="pct"/>
            <w:vAlign w:val="center"/>
          </w:tcPr>
          <w:p w14:paraId="682978A1">
            <w:pPr>
              <w:pStyle w:val="180"/>
              <w:rPr>
                <w:rFonts w:hAnsi="宋体"/>
                <w:szCs w:val="18"/>
              </w:rPr>
            </w:pPr>
            <w:r>
              <w:t>5</w:t>
            </w:r>
          </w:p>
        </w:tc>
      </w:tr>
      <w:tr w14:paraId="11A67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6615AC4B">
            <w:pPr>
              <w:pStyle w:val="180"/>
              <w:rPr>
                <w:rFonts w:hAnsi="宋体"/>
              </w:rPr>
            </w:pPr>
          </w:p>
        </w:tc>
        <w:tc>
          <w:tcPr>
            <w:tcW w:w="662" w:type="pct"/>
            <w:vMerge w:val="continue"/>
            <w:shd w:val="clear" w:color="auto" w:fill="auto"/>
            <w:vAlign w:val="center"/>
          </w:tcPr>
          <w:p w14:paraId="687FA6CA">
            <w:pPr>
              <w:pStyle w:val="180"/>
              <w:rPr>
                <w:rFonts w:hAnsi="宋体"/>
              </w:rPr>
            </w:pPr>
          </w:p>
        </w:tc>
        <w:tc>
          <w:tcPr>
            <w:tcW w:w="1133" w:type="pct"/>
            <w:vMerge w:val="continue"/>
            <w:shd w:val="clear" w:color="auto" w:fill="auto"/>
            <w:vAlign w:val="center"/>
          </w:tcPr>
          <w:p w14:paraId="042E82A8">
            <w:pPr>
              <w:pStyle w:val="180"/>
              <w:rPr>
                <w:rFonts w:hAnsi="宋体"/>
              </w:rPr>
            </w:pPr>
          </w:p>
        </w:tc>
        <w:tc>
          <w:tcPr>
            <w:tcW w:w="1783" w:type="pct"/>
            <w:shd w:val="clear" w:color="auto" w:fill="auto"/>
            <w:vAlign w:val="center"/>
          </w:tcPr>
          <w:p w14:paraId="07571065">
            <w:pPr>
              <w:pStyle w:val="180"/>
              <w:rPr>
                <w:rFonts w:hAnsi="宋体"/>
                <w:szCs w:val="18"/>
              </w:rPr>
            </w:pPr>
            <w:r>
              <w:rPr>
                <w:rFonts w:hint="eastAsia"/>
              </w:rPr>
              <w:t>地下水软化、泥化作用明显</w:t>
            </w:r>
          </w:p>
        </w:tc>
        <w:tc>
          <w:tcPr>
            <w:tcW w:w="918" w:type="pct"/>
            <w:vAlign w:val="center"/>
          </w:tcPr>
          <w:p w14:paraId="321CB05C">
            <w:pPr>
              <w:pStyle w:val="180"/>
              <w:rPr>
                <w:rFonts w:hAnsi="宋体"/>
                <w:szCs w:val="18"/>
              </w:rPr>
            </w:pPr>
            <w:r>
              <w:rPr>
                <w:rFonts w:hint="eastAsia"/>
              </w:rPr>
              <w:t>3</w:t>
            </w:r>
          </w:p>
        </w:tc>
      </w:tr>
      <w:tr w14:paraId="14AE3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3B7E04C4">
            <w:pPr>
              <w:pStyle w:val="180"/>
              <w:rPr>
                <w:rFonts w:hAnsi="宋体"/>
              </w:rPr>
            </w:pPr>
          </w:p>
        </w:tc>
        <w:tc>
          <w:tcPr>
            <w:tcW w:w="662" w:type="pct"/>
            <w:vMerge w:val="continue"/>
            <w:shd w:val="clear" w:color="auto" w:fill="auto"/>
            <w:vAlign w:val="center"/>
          </w:tcPr>
          <w:p w14:paraId="6C89AE04">
            <w:pPr>
              <w:pStyle w:val="180"/>
              <w:rPr>
                <w:rFonts w:hAnsi="宋体"/>
              </w:rPr>
            </w:pPr>
          </w:p>
        </w:tc>
        <w:tc>
          <w:tcPr>
            <w:tcW w:w="1133" w:type="pct"/>
            <w:vMerge w:val="continue"/>
            <w:shd w:val="clear" w:color="auto" w:fill="auto"/>
            <w:vAlign w:val="center"/>
          </w:tcPr>
          <w:p w14:paraId="78E5AEFC">
            <w:pPr>
              <w:pStyle w:val="180"/>
              <w:rPr>
                <w:rFonts w:hAnsi="宋体"/>
              </w:rPr>
            </w:pPr>
          </w:p>
        </w:tc>
        <w:tc>
          <w:tcPr>
            <w:tcW w:w="1783" w:type="pct"/>
            <w:shd w:val="clear" w:color="auto" w:fill="auto"/>
            <w:vAlign w:val="center"/>
          </w:tcPr>
          <w:p w14:paraId="1E76EA2B">
            <w:pPr>
              <w:pStyle w:val="180"/>
              <w:rPr>
                <w:rFonts w:hAnsi="宋体"/>
                <w:szCs w:val="18"/>
              </w:rPr>
            </w:pPr>
            <w:r>
              <w:rPr>
                <w:rFonts w:hint="eastAsia"/>
              </w:rPr>
              <w:t>裂隙水甚为微弱，渗水、滴水现象不明显</w:t>
            </w:r>
          </w:p>
        </w:tc>
        <w:tc>
          <w:tcPr>
            <w:tcW w:w="918" w:type="pct"/>
            <w:vAlign w:val="center"/>
          </w:tcPr>
          <w:p w14:paraId="53022765">
            <w:pPr>
              <w:pStyle w:val="180"/>
              <w:rPr>
                <w:rFonts w:hAnsi="宋体"/>
                <w:szCs w:val="18"/>
              </w:rPr>
            </w:pPr>
            <w:r>
              <w:rPr>
                <w:rFonts w:hint="eastAsia"/>
              </w:rPr>
              <w:t>1</w:t>
            </w:r>
          </w:p>
        </w:tc>
      </w:tr>
      <w:tr w14:paraId="0CEC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7B235C10">
            <w:pPr>
              <w:pStyle w:val="180"/>
              <w:rPr>
                <w:rFonts w:hAnsi="宋体"/>
              </w:rPr>
            </w:pPr>
            <w:r>
              <w:rPr>
                <w:rFonts w:hint="eastAsia" w:hAnsi="宋体"/>
              </w:rPr>
              <w:t>4</w:t>
            </w:r>
          </w:p>
        </w:tc>
        <w:tc>
          <w:tcPr>
            <w:tcW w:w="662" w:type="pct"/>
            <w:vMerge w:val="continue"/>
            <w:shd w:val="clear" w:color="auto" w:fill="auto"/>
            <w:vAlign w:val="center"/>
          </w:tcPr>
          <w:p w14:paraId="168FC7E7">
            <w:pPr>
              <w:pStyle w:val="180"/>
              <w:rPr>
                <w:rFonts w:hAnsi="宋体"/>
              </w:rPr>
            </w:pPr>
          </w:p>
        </w:tc>
        <w:tc>
          <w:tcPr>
            <w:tcW w:w="1133" w:type="pct"/>
            <w:vMerge w:val="restart"/>
            <w:shd w:val="clear" w:color="auto" w:fill="auto"/>
            <w:vAlign w:val="center"/>
          </w:tcPr>
          <w:p w14:paraId="24F4A696">
            <w:pPr>
              <w:pStyle w:val="180"/>
              <w:rPr>
                <w:rFonts w:hAnsi="宋体"/>
              </w:rPr>
            </w:pPr>
            <w:r>
              <w:t>顶板管理方法</w:t>
            </w:r>
          </w:p>
        </w:tc>
        <w:tc>
          <w:tcPr>
            <w:tcW w:w="1783" w:type="pct"/>
            <w:shd w:val="clear" w:color="auto" w:fill="auto"/>
            <w:vAlign w:val="center"/>
          </w:tcPr>
          <w:p w14:paraId="58A78EC6">
            <w:pPr>
              <w:pStyle w:val="180"/>
              <w:rPr>
                <w:rFonts w:hAnsi="宋体"/>
                <w:szCs w:val="18"/>
              </w:rPr>
            </w:pPr>
            <w:r>
              <w:rPr>
                <w:rFonts w:hint="eastAsia"/>
              </w:rPr>
              <w:t>崩落法</w:t>
            </w:r>
          </w:p>
        </w:tc>
        <w:tc>
          <w:tcPr>
            <w:tcW w:w="918" w:type="pct"/>
            <w:vAlign w:val="center"/>
          </w:tcPr>
          <w:p w14:paraId="2F1D2A4E">
            <w:pPr>
              <w:pStyle w:val="180"/>
              <w:rPr>
                <w:rFonts w:hAnsi="宋体"/>
                <w:szCs w:val="18"/>
              </w:rPr>
            </w:pPr>
            <w:r>
              <w:t>5</w:t>
            </w:r>
          </w:p>
        </w:tc>
      </w:tr>
      <w:tr w14:paraId="0ADEE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73870A56">
            <w:pPr>
              <w:pStyle w:val="180"/>
              <w:rPr>
                <w:rFonts w:hAnsi="宋体"/>
              </w:rPr>
            </w:pPr>
          </w:p>
        </w:tc>
        <w:tc>
          <w:tcPr>
            <w:tcW w:w="662" w:type="pct"/>
            <w:vMerge w:val="continue"/>
            <w:shd w:val="clear" w:color="auto" w:fill="auto"/>
            <w:vAlign w:val="center"/>
          </w:tcPr>
          <w:p w14:paraId="1EA475C9">
            <w:pPr>
              <w:pStyle w:val="180"/>
              <w:rPr>
                <w:rFonts w:hAnsi="宋体"/>
              </w:rPr>
            </w:pPr>
          </w:p>
        </w:tc>
        <w:tc>
          <w:tcPr>
            <w:tcW w:w="1133" w:type="pct"/>
            <w:vMerge w:val="continue"/>
            <w:shd w:val="clear" w:color="auto" w:fill="auto"/>
            <w:vAlign w:val="center"/>
          </w:tcPr>
          <w:p w14:paraId="26477344">
            <w:pPr>
              <w:pStyle w:val="180"/>
              <w:rPr>
                <w:rFonts w:hAnsi="宋体"/>
              </w:rPr>
            </w:pPr>
          </w:p>
        </w:tc>
        <w:tc>
          <w:tcPr>
            <w:tcW w:w="1783" w:type="pct"/>
            <w:shd w:val="clear" w:color="auto" w:fill="auto"/>
            <w:vAlign w:val="center"/>
          </w:tcPr>
          <w:p w14:paraId="1E1DC9FA">
            <w:pPr>
              <w:pStyle w:val="180"/>
              <w:rPr>
                <w:rFonts w:hAnsi="宋体"/>
                <w:szCs w:val="18"/>
              </w:rPr>
            </w:pPr>
            <w:r>
              <w:t>充填法</w:t>
            </w:r>
          </w:p>
        </w:tc>
        <w:tc>
          <w:tcPr>
            <w:tcW w:w="918" w:type="pct"/>
            <w:vAlign w:val="center"/>
          </w:tcPr>
          <w:p w14:paraId="77DA403A">
            <w:pPr>
              <w:pStyle w:val="180"/>
              <w:rPr>
                <w:rFonts w:hAnsi="宋体"/>
                <w:szCs w:val="18"/>
              </w:rPr>
            </w:pPr>
            <w:r>
              <w:rPr>
                <w:rFonts w:hint="eastAsia"/>
              </w:rPr>
              <w:t>3</w:t>
            </w:r>
          </w:p>
        </w:tc>
      </w:tr>
      <w:tr w14:paraId="19452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24EC46D6">
            <w:pPr>
              <w:pStyle w:val="180"/>
              <w:rPr>
                <w:rFonts w:hAnsi="宋体"/>
              </w:rPr>
            </w:pPr>
          </w:p>
        </w:tc>
        <w:tc>
          <w:tcPr>
            <w:tcW w:w="662" w:type="pct"/>
            <w:vMerge w:val="continue"/>
            <w:shd w:val="clear" w:color="auto" w:fill="auto"/>
            <w:vAlign w:val="center"/>
          </w:tcPr>
          <w:p w14:paraId="176655EA">
            <w:pPr>
              <w:pStyle w:val="180"/>
              <w:rPr>
                <w:rFonts w:hAnsi="宋体"/>
              </w:rPr>
            </w:pPr>
          </w:p>
        </w:tc>
        <w:tc>
          <w:tcPr>
            <w:tcW w:w="1133" w:type="pct"/>
            <w:vMerge w:val="continue"/>
            <w:shd w:val="clear" w:color="auto" w:fill="auto"/>
            <w:vAlign w:val="center"/>
          </w:tcPr>
          <w:p w14:paraId="4BFAA123">
            <w:pPr>
              <w:pStyle w:val="180"/>
              <w:rPr>
                <w:rFonts w:hAnsi="宋体"/>
              </w:rPr>
            </w:pPr>
          </w:p>
        </w:tc>
        <w:tc>
          <w:tcPr>
            <w:tcW w:w="1783" w:type="pct"/>
            <w:shd w:val="clear" w:color="auto" w:fill="auto"/>
            <w:vAlign w:val="center"/>
          </w:tcPr>
          <w:p w14:paraId="69049F38">
            <w:pPr>
              <w:pStyle w:val="180"/>
              <w:rPr>
                <w:rFonts w:hAnsi="宋体"/>
                <w:szCs w:val="18"/>
              </w:rPr>
            </w:pPr>
            <w:r>
              <w:rPr>
                <w:rFonts w:hint="eastAsia"/>
              </w:rPr>
              <w:t>矿柱法、缓慢下沉法</w:t>
            </w:r>
          </w:p>
        </w:tc>
        <w:tc>
          <w:tcPr>
            <w:tcW w:w="918" w:type="pct"/>
            <w:vAlign w:val="center"/>
          </w:tcPr>
          <w:p w14:paraId="715D0992">
            <w:pPr>
              <w:pStyle w:val="180"/>
              <w:rPr>
                <w:rFonts w:hAnsi="宋体"/>
                <w:szCs w:val="18"/>
              </w:rPr>
            </w:pPr>
            <w:r>
              <w:rPr>
                <w:rFonts w:hint="eastAsia"/>
              </w:rPr>
              <w:t>1</w:t>
            </w:r>
          </w:p>
        </w:tc>
      </w:tr>
      <w:tr w14:paraId="6016F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0D9981AF">
            <w:pPr>
              <w:pStyle w:val="180"/>
              <w:rPr>
                <w:rFonts w:hAnsi="宋体"/>
              </w:rPr>
            </w:pPr>
            <w:r>
              <w:rPr>
                <w:rFonts w:hint="eastAsia" w:hAnsi="宋体"/>
              </w:rPr>
              <w:t>5</w:t>
            </w:r>
          </w:p>
        </w:tc>
        <w:tc>
          <w:tcPr>
            <w:tcW w:w="662" w:type="pct"/>
            <w:vMerge w:val="continue"/>
            <w:shd w:val="clear" w:color="auto" w:fill="auto"/>
            <w:vAlign w:val="center"/>
          </w:tcPr>
          <w:p w14:paraId="5510CFF8">
            <w:pPr>
              <w:pStyle w:val="180"/>
              <w:rPr>
                <w:rFonts w:hAnsi="宋体"/>
              </w:rPr>
            </w:pPr>
          </w:p>
        </w:tc>
        <w:tc>
          <w:tcPr>
            <w:tcW w:w="1133" w:type="pct"/>
            <w:vMerge w:val="restart"/>
            <w:shd w:val="clear" w:color="auto" w:fill="auto"/>
            <w:vAlign w:val="center"/>
          </w:tcPr>
          <w:p w14:paraId="01073C2F">
            <w:pPr>
              <w:pStyle w:val="180"/>
              <w:rPr>
                <w:rFonts w:hAnsi="宋体"/>
              </w:rPr>
            </w:pPr>
            <w:r>
              <w:rPr>
                <w:rFonts w:hint="eastAsia"/>
              </w:rPr>
              <w:t>矿</w:t>
            </w:r>
            <w:r>
              <w:t>柱布</w:t>
            </w:r>
            <w:r>
              <w:rPr>
                <w:rFonts w:hint="eastAsia"/>
              </w:rPr>
              <w:t>置</w:t>
            </w:r>
          </w:p>
        </w:tc>
        <w:tc>
          <w:tcPr>
            <w:tcW w:w="1783" w:type="pct"/>
            <w:shd w:val="clear" w:color="auto" w:fill="auto"/>
            <w:vAlign w:val="center"/>
          </w:tcPr>
          <w:p w14:paraId="0D9C7772">
            <w:pPr>
              <w:pStyle w:val="180"/>
              <w:rPr>
                <w:rFonts w:hAnsi="宋体"/>
                <w:szCs w:val="18"/>
              </w:rPr>
            </w:pPr>
            <w:r>
              <w:t>无</w:t>
            </w:r>
            <w:r>
              <w:rPr>
                <w:rFonts w:hint="eastAsia"/>
              </w:rPr>
              <w:t>矿</w:t>
            </w:r>
            <w:r>
              <w:t>柱或布置不规范、</w:t>
            </w:r>
            <w:r>
              <w:rPr>
                <w:rFonts w:hint="eastAsia"/>
              </w:rPr>
              <w:t>矿</w:t>
            </w:r>
            <w:r>
              <w:t>柱已严重受损</w:t>
            </w:r>
          </w:p>
        </w:tc>
        <w:tc>
          <w:tcPr>
            <w:tcW w:w="918" w:type="pct"/>
            <w:vAlign w:val="center"/>
          </w:tcPr>
          <w:p w14:paraId="469F15E0">
            <w:pPr>
              <w:pStyle w:val="180"/>
              <w:rPr>
                <w:rFonts w:hAnsi="宋体"/>
                <w:szCs w:val="18"/>
              </w:rPr>
            </w:pPr>
            <w:r>
              <w:t>5</w:t>
            </w:r>
          </w:p>
        </w:tc>
      </w:tr>
      <w:tr w14:paraId="37EB5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6D6670C2">
            <w:pPr>
              <w:pStyle w:val="180"/>
              <w:rPr>
                <w:rFonts w:hAnsi="宋体"/>
              </w:rPr>
            </w:pPr>
          </w:p>
        </w:tc>
        <w:tc>
          <w:tcPr>
            <w:tcW w:w="662" w:type="pct"/>
            <w:vMerge w:val="continue"/>
            <w:shd w:val="clear" w:color="auto" w:fill="auto"/>
            <w:vAlign w:val="center"/>
          </w:tcPr>
          <w:p w14:paraId="0E00AE01">
            <w:pPr>
              <w:pStyle w:val="180"/>
              <w:rPr>
                <w:rFonts w:hAnsi="宋体"/>
              </w:rPr>
            </w:pPr>
          </w:p>
        </w:tc>
        <w:tc>
          <w:tcPr>
            <w:tcW w:w="1133" w:type="pct"/>
            <w:vMerge w:val="continue"/>
            <w:shd w:val="clear" w:color="auto" w:fill="auto"/>
            <w:vAlign w:val="center"/>
          </w:tcPr>
          <w:p w14:paraId="4B2002A7">
            <w:pPr>
              <w:pStyle w:val="180"/>
              <w:rPr>
                <w:rFonts w:hAnsi="宋体"/>
              </w:rPr>
            </w:pPr>
          </w:p>
        </w:tc>
        <w:tc>
          <w:tcPr>
            <w:tcW w:w="1783" w:type="pct"/>
            <w:shd w:val="clear" w:color="auto" w:fill="auto"/>
            <w:vAlign w:val="center"/>
          </w:tcPr>
          <w:p w14:paraId="2612938A">
            <w:pPr>
              <w:pStyle w:val="180"/>
              <w:rPr>
                <w:rFonts w:hAnsi="宋体"/>
                <w:szCs w:val="18"/>
              </w:rPr>
            </w:pPr>
            <w:r>
              <w:rPr>
                <w:rFonts w:hint="eastAsia"/>
              </w:rPr>
              <w:t>有矿柱但布置不规范，且矿柱开始破坏，</w:t>
            </w:r>
          </w:p>
        </w:tc>
        <w:tc>
          <w:tcPr>
            <w:tcW w:w="918" w:type="pct"/>
            <w:vAlign w:val="center"/>
          </w:tcPr>
          <w:p w14:paraId="31B2EAED">
            <w:pPr>
              <w:pStyle w:val="180"/>
              <w:rPr>
                <w:rFonts w:hAnsi="宋体"/>
                <w:szCs w:val="18"/>
              </w:rPr>
            </w:pPr>
            <w:r>
              <w:rPr>
                <w:rFonts w:hint="eastAsia"/>
              </w:rPr>
              <w:t>3</w:t>
            </w:r>
          </w:p>
        </w:tc>
      </w:tr>
      <w:tr w14:paraId="2D8E2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5BACAD48">
            <w:pPr>
              <w:pStyle w:val="180"/>
              <w:rPr>
                <w:rFonts w:hAnsi="宋体"/>
              </w:rPr>
            </w:pPr>
          </w:p>
        </w:tc>
        <w:tc>
          <w:tcPr>
            <w:tcW w:w="662" w:type="pct"/>
            <w:vMerge w:val="continue"/>
            <w:shd w:val="clear" w:color="auto" w:fill="auto"/>
            <w:vAlign w:val="center"/>
          </w:tcPr>
          <w:p w14:paraId="0A808385">
            <w:pPr>
              <w:pStyle w:val="180"/>
              <w:rPr>
                <w:rFonts w:hAnsi="宋体"/>
              </w:rPr>
            </w:pPr>
          </w:p>
        </w:tc>
        <w:tc>
          <w:tcPr>
            <w:tcW w:w="1133" w:type="pct"/>
            <w:vMerge w:val="continue"/>
            <w:shd w:val="clear" w:color="auto" w:fill="auto"/>
            <w:vAlign w:val="center"/>
          </w:tcPr>
          <w:p w14:paraId="7F42290E">
            <w:pPr>
              <w:pStyle w:val="180"/>
              <w:rPr>
                <w:rFonts w:hAnsi="宋体"/>
              </w:rPr>
            </w:pPr>
          </w:p>
        </w:tc>
        <w:tc>
          <w:tcPr>
            <w:tcW w:w="1783" w:type="pct"/>
            <w:shd w:val="clear" w:color="auto" w:fill="auto"/>
            <w:vAlign w:val="center"/>
          </w:tcPr>
          <w:p w14:paraId="282DF094">
            <w:pPr>
              <w:pStyle w:val="180"/>
              <w:rPr>
                <w:rFonts w:hAnsi="宋体"/>
                <w:szCs w:val="18"/>
              </w:rPr>
            </w:pPr>
            <w:r>
              <w:rPr>
                <w:rFonts w:hint="eastAsia"/>
              </w:rPr>
              <w:t>有矿柱，且布置</w:t>
            </w:r>
            <w:r>
              <w:t>规范</w:t>
            </w:r>
          </w:p>
        </w:tc>
        <w:tc>
          <w:tcPr>
            <w:tcW w:w="918" w:type="pct"/>
            <w:vAlign w:val="center"/>
          </w:tcPr>
          <w:p w14:paraId="0573263A">
            <w:pPr>
              <w:pStyle w:val="180"/>
              <w:rPr>
                <w:rFonts w:hAnsi="宋体"/>
                <w:szCs w:val="18"/>
              </w:rPr>
            </w:pPr>
            <w:r>
              <w:rPr>
                <w:rFonts w:hint="eastAsia"/>
              </w:rPr>
              <w:t>1</w:t>
            </w:r>
          </w:p>
        </w:tc>
      </w:tr>
      <w:tr w14:paraId="74D7D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412DADF0">
            <w:pPr>
              <w:pStyle w:val="180"/>
              <w:rPr>
                <w:rFonts w:hAnsi="宋体"/>
              </w:rPr>
            </w:pPr>
            <w:r>
              <w:rPr>
                <w:rFonts w:hint="eastAsia" w:hAnsi="宋体"/>
              </w:rPr>
              <w:t>6</w:t>
            </w:r>
          </w:p>
        </w:tc>
        <w:tc>
          <w:tcPr>
            <w:tcW w:w="662" w:type="pct"/>
            <w:vMerge w:val="continue"/>
            <w:shd w:val="clear" w:color="auto" w:fill="auto"/>
            <w:vAlign w:val="center"/>
          </w:tcPr>
          <w:p w14:paraId="1076BA97">
            <w:pPr>
              <w:pStyle w:val="180"/>
              <w:rPr>
                <w:rFonts w:hAnsi="宋体"/>
              </w:rPr>
            </w:pPr>
          </w:p>
        </w:tc>
        <w:tc>
          <w:tcPr>
            <w:tcW w:w="1133" w:type="pct"/>
            <w:vMerge w:val="restart"/>
            <w:shd w:val="clear" w:color="auto" w:fill="auto"/>
            <w:vAlign w:val="center"/>
          </w:tcPr>
          <w:p w14:paraId="35E0E3A2">
            <w:pPr>
              <w:pStyle w:val="180"/>
              <w:rPr>
                <w:rFonts w:hAnsi="宋体"/>
              </w:rPr>
            </w:pPr>
            <w:r>
              <w:rPr>
                <w:rFonts w:hint="eastAsia" w:hAnsi="宋体"/>
                <w:szCs w:val="18"/>
              </w:rPr>
              <w:t>开采深厚比</w:t>
            </w:r>
          </w:p>
        </w:tc>
        <w:tc>
          <w:tcPr>
            <w:tcW w:w="1783" w:type="pct"/>
            <w:shd w:val="clear" w:color="auto" w:fill="auto"/>
            <w:vAlign w:val="center"/>
          </w:tcPr>
          <w:p w14:paraId="0F89A136">
            <w:pPr>
              <w:pStyle w:val="180"/>
              <w:rPr>
                <w:rFonts w:hAnsi="宋体"/>
              </w:rPr>
            </w:pPr>
            <w:r>
              <w:rPr>
                <w:rFonts w:hint="eastAsia" w:hAnsi="宋体"/>
                <w:szCs w:val="18"/>
              </w:rPr>
              <w:t>＜80</w:t>
            </w:r>
          </w:p>
        </w:tc>
        <w:tc>
          <w:tcPr>
            <w:tcW w:w="918" w:type="pct"/>
          </w:tcPr>
          <w:p w14:paraId="2DFA428D">
            <w:pPr>
              <w:pStyle w:val="180"/>
              <w:rPr>
                <w:rFonts w:hAnsi="宋体"/>
                <w:szCs w:val="18"/>
              </w:rPr>
            </w:pPr>
            <w:r>
              <w:rPr>
                <w:rFonts w:hint="eastAsia" w:hAnsi="宋体"/>
                <w:szCs w:val="18"/>
              </w:rPr>
              <w:t>5</w:t>
            </w:r>
          </w:p>
        </w:tc>
      </w:tr>
      <w:tr w14:paraId="13D05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181E43D0">
            <w:pPr>
              <w:pStyle w:val="180"/>
              <w:rPr>
                <w:rFonts w:hAnsi="宋体"/>
              </w:rPr>
            </w:pPr>
          </w:p>
        </w:tc>
        <w:tc>
          <w:tcPr>
            <w:tcW w:w="662" w:type="pct"/>
            <w:vMerge w:val="continue"/>
            <w:shd w:val="clear" w:color="auto" w:fill="auto"/>
            <w:vAlign w:val="center"/>
          </w:tcPr>
          <w:p w14:paraId="5C1C3523">
            <w:pPr>
              <w:pStyle w:val="180"/>
              <w:rPr>
                <w:rFonts w:hAnsi="宋体"/>
              </w:rPr>
            </w:pPr>
          </w:p>
        </w:tc>
        <w:tc>
          <w:tcPr>
            <w:tcW w:w="1133" w:type="pct"/>
            <w:vMerge w:val="continue"/>
            <w:shd w:val="clear" w:color="auto" w:fill="auto"/>
            <w:vAlign w:val="center"/>
          </w:tcPr>
          <w:p w14:paraId="412F70DB">
            <w:pPr>
              <w:pStyle w:val="180"/>
              <w:rPr>
                <w:rFonts w:hAnsi="宋体"/>
              </w:rPr>
            </w:pPr>
          </w:p>
        </w:tc>
        <w:tc>
          <w:tcPr>
            <w:tcW w:w="1783" w:type="pct"/>
            <w:shd w:val="clear" w:color="auto" w:fill="auto"/>
            <w:vAlign w:val="center"/>
          </w:tcPr>
          <w:p w14:paraId="54096609">
            <w:pPr>
              <w:pStyle w:val="180"/>
              <w:rPr>
                <w:rFonts w:hAnsi="宋体"/>
              </w:rPr>
            </w:pPr>
            <w:r>
              <w:rPr>
                <w:rFonts w:hint="eastAsia" w:hAnsi="宋体"/>
                <w:szCs w:val="18"/>
              </w:rPr>
              <w:t>80～120</w:t>
            </w:r>
          </w:p>
        </w:tc>
        <w:tc>
          <w:tcPr>
            <w:tcW w:w="918" w:type="pct"/>
          </w:tcPr>
          <w:p w14:paraId="079C575E">
            <w:pPr>
              <w:pStyle w:val="180"/>
              <w:rPr>
                <w:rFonts w:hAnsi="宋体"/>
                <w:szCs w:val="18"/>
              </w:rPr>
            </w:pPr>
            <w:r>
              <w:rPr>
                <w:rFonts w:hint="eastAsia" w:hAnsi="宋体"/>
                <w:szCs w:val="18"/>
              </w:rPr>
              <w:t>3</w:t>
            </w:r>
          </w:p>
        </w:tc>
      </w:tr>
      <w:tr w14:paraId="5108C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3B2A3163">
            <w:pPr>
              <w:pStyle w:val="180"/>
              <w:rPr>
                <w:rFonts w:hAnsi="宋体"/>
              </w:rPr>
            </w:pPr>
          </w:p>
        </w:tc>
        <w:tc>
          <w:tcPr>
            <w:tcW w:w="662" w:type="pct"/>
            <w:vMerge w:val="continue"/>
            <w:shd w:val="clear" w:color="auto" w:fill="auto"/>
            <w:vAlign w:val="center"/>
          </w:tcPr>
          <w:p w14:paraId="5CB56D5E">
            <w:pPr>
              <w:pStyle w:val="180"/>
              <w:rPr>
                <w:rFonts w:hAnsi="宋体"/>
              </w:rPr>
            </w:pPr>
          </w:p>
        </w:tc>
        <w:tc>
          <w:tcPr>
            <w:tcW w:w="1133" w:type="pct"/>
            <w:vMerge w:val="continue"/>
            <w:shd w:val="clear" w:color="auto" w:fill="auto"/>
            <w:vAlign w:val="center"/>
          </w:tcPr>
          <w:p w14:paraId="37319726">
            <w:pPr>
              <w:pStyle w:val="180"/>
              <w:rPr>
                <w:rFonts w:hAnsi="宋体"/>
              </w:rPr>
            </w:pPr>
          </w:p>
        </w:tc>
        <w:tc>
          <w:tcPr>
            <w:tcW w:w="1783" w:type="pct"/>
            <w:shd w:val="clear" w:color="auto" w:fill="auto"/>
            <w:vAlign w:val="center"/>
          </w:tcPr>
          <w:p w14:paraId="04806B25">
            <w:pPr>
              <w:pStyle w:val="180"/>
              <w:rPr>
                <w:rFonts w:hAnsi="宋体"/>
              </w:rPr>
            </w:pPr>
            <w:r>
              <w:rPr>
                <w:rFonts w:hint="eastAsia" w:hAnsi="宋体"/>
                <w:szCs w:val="18"/>
              </w:rPr>
              <w:t>＞120</w:t>
            </w:r>
          </w:p>
        </w:tc>
        <w:tc>
          <w:tcPr>
            <w:tcW w:w="918" w:type="pct"/>
          </w:tcPr>
          <w:p w14:paraId="4D9B11DA">
            <w:pPr>
              <w:pStyle w:val="180"/>
              <w:rPr>
                <w:rFonts w:hAnsi="宋体"/>
                <w:szCs w:val="18"/>
              </w:rPr>
            </w:pPr>
            <w:r>
              <w:rPr>
                <w:rFonts w:hint="eastAsia" w:hAnsi="宋体"/>
                <w:szCs w:val="18"/>
              </w:rPr>
              <w:t>1</w:t>
            </w:r>
          </w:p>
        </w:tc>
      </w:tr>
      <w:tr w14:paraId="798C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58C1F0FD">
            <w:pPr>
              <w:pStyle w:val="180"/>
              <w:rPr>
                <w:rFonts w:hAnsi="宋体"/>
              </w:rPr>
            </w:pPr>
            <w:r>
              <w:rPr>
                <w:rFonts w:hint="eastAsia" w:hAnsi="宋体"/>
              </w:rPr>
              <w:t>7</w:t>
            </w:r>
          </w:p>
        </w:tc>
        <w:tc>
          <w:tcPr>
            <w:tcW w:w="662" w:type="pct"/>
            <w:vMerge w:val="continue"/>
            <w:shd w:val="clear" w:color="auto" w:fill="auto"/>
            <w:vAlign w:val="center"/>
          </w:tcPr>
          <w:p w14:paraId="2346F88C">
            <w:pPr>
              <w:pStyle w:val="180"/>
              <w:rPr>
                <w:rFonts w:hAnsi="宋体"/>
              </w:rPr>
            </w:pPr>
          </w:p>
        </w:tc>
        <w:tc>
          <w:tcPr>
            <w:tcW w:w="1133" w:type="pct"/>
            <w:vMerge w:val="restart"/>
            <w:shd w:val="clear" w:color="auto" w:fill="auto"/>
            <w:vAlign w:val="center"/>
          </w:tcPr>
          <w:p w14:paraId="74B9D624">
            <w:pPr>
              <w:pStyle w:val="180"/>
              <w:rPr>
                <w:rFonts w:hAnsi="宋体"/>
              </w:rPr>
            </w:pPr>
            <w:r>
              <w:rPr>
                <w:rFonts w:hint="eastAsia" w:hAnsi="宋体"/>
                <w:szCs w:val="18"/>
              </w:rPr>
              <w:t>采空区及影响带占建设场地面积（%）</w:t>
            </w:r>
          </w:p>
        </w:tc>
        <w:tc>
          <w:tcPr>
            <w:tcW w:w="1783" w:type="pct"/>
            <w:shd w:val="clear" w:color="auto" w:fill="auto"/>
            <w:vAlign w:val="center"/>
          </w:tcPr>
          <w:p w14:paraId="185927A1">
            <w:pPr>
              <w:pStyle w:val="180"/>
              <w:rPr>
                <w:rFonts w:hAnsi="宋体"/>
              </w:rPr>
            </w:pPr>
            <w:r>
              <w:rPr>
                <w:rFonts w:hint="eastAsia" w:hAnsi="宋体"/>
                <w:szCs w:val="18"/>
              </w:rPr>
              <w:t>＞10</w:t>
            </w:r>
          </w:p>
        </w:tc>
        <w:tc>
          <w:tcPr>
            <w:tcW w:w="918" w:type="pct"/>
          </w:tcPr>
          <w:p w14:paraId="2F520B67">
            <w:pPr>
              <w:pStyle w:val="180"/>
              <w:rPr>
                <w:rFonts w:hAnsi="宋体"/>
                <w:szCs w:val="18"/>
              </w:rPr>
            </w:pPr>
            <w:r>
              <w:rPr>
                <w:rFonts w:hint="eastAsia" w:hAnsi="宋体"/>
                <w:szCs w:val="18"/>
              </w:rPr>
              <w:t>5</w:t>
            </w:r>
          </w:p>
        </w:tc>
      </w:tr>
      <w:tr w14:paraId="46A34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1563C1A9">
            <w:pPr>
              <w:pStyle w:val="180"/>
              <w:rPr>
                <w:rFonts w:hAnsi="宋体"/>
              </w:rPr>
            </w:pPr>
          </w:p>
        </w:tc>
        <w:tc>
          <w:tcPr>
            <w:tcW w:w="662" w:type="pct"/>
            <w:vMerge w:val="continue"/>
            <w:shd w:val="clear" w:color="auto" w:fill="auto"/>
            <w:vAlign w:val="center"/>
          </w:tcPr>
          <w:p w14:paraId="2F093029">
            <w:pPr>
              <w:pStyle w:val="180"/>
              <w:rPr>
                <w:rFonts w:hAnsi="宋体"/>
              </w:rPr>
            </w:pPr>
          </w:p>
        </w:tc>
        <w:tc>
          <w:tcPr>
            <w:tcW w:w="1133" w:type="pct"/>
            <w:vMerge w:val="continue"/>
            <w:shd w:val="clear" w:color="auto" w:fill="auto"/>
            <w:vAlign w:val="center"/>
          </w:tcPr>
          <w:p w14:paraId="0E895E7A">
            <w:pPr>
              <w:pStyle w:val="180"/>
              <w:rPr>
                <w:rFonts w:hAnsi="宋体"/>
              </w:rPr>
            </w:pPr>
          </w:p>
        </w:tc>
        <w:tc>
          <w:tcPr>
            <w:tcW w:w="1783" w:type="pct"/>
            <w:shd w:val="clear" w:color="auto" w:fill="auto"/>
            <w:vAlign w:val="center"/>
          </w:tcPr>
          <w:p w14:paraId="46FA3008">
            <w:pPr>
              <w:pStyle w:val="180"/>
              <w:rPr>
                <w:rFonts w:hAnsi="宋体"/>
              </w:rPr>
            </w:pPr>
            <w:r>
              <w:rPr>
                <w:rFonts w:hint="eastAsia" w:hAnsi="宋体"/>
                <w:szCs w:val="18"/>
              </w:rPr>
              <w:t>3～10</w:t>
            </w:r>
          </w:p>
        </w:tc>
        <w:tc>
          <w:tcPr>
            <w:tcW w:w="918" w:type="pct"/>
          </w:tcPr>
          <w:p w14:paraId="07118837">
            <w:pPr>
              <w:pStyle w:val="180"/>
              <w:rPr>
                <w:rFonts w:hAnsi="宋体"/>
                <w:szCs w:val="18"/>
              </w:rPr>
            </w:pPr>
            <w:r>
              <w:rPr>
                <w:rFonts w:hint="eastAsia" w:hAnsi="宋体"/>
                <w:szCs w:val="18"/>
              </w:rPr>
              <w:t>3</w:t>
            </w:r>
          </w:p>
        </w:tc>
      </w:tr>
      <w:tr w14:paraId="0ED1F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013ECB1D">
            <w:pPr>
              <w:pStyle w:val="180"/>
              <w:rPr>
                <w:rFonts w:hAnsi="宋体"/>
              </w:rPr>
            </w:pPr>
          </w:p>
        </w:tc>
        <w:tc>
          <w:tcPr>
            <w:tcW w:w="662" w:type="pct"/>
            <w:vMerge w:val="continue"/>
            <w:shd w:val="clear" w:color="auto" w:fill="auto"/>
            <w:vAlign w:val="center"/>
          </w:tcPr>
          <w:p w14:paraId="6102D25A">
            <w:pPr>
              <w:pStyle w:val="180"/>
              <w:rPr>
                <w:rFonts w:hAnsi="宋体"/>
              </w:rPr>
            </w:pPr>
          </w:p>
        </w:tc>
        <w:tc>
          <w:tcPr>
            <w:tcW w:w="1133" w:type="pct"/>
            <w:vMerge w:val="continue"/>
            <w:shd w:val="clear" w:color="auto" w:fill="auto"/>
            <w:vAlign w:val="center"/>
          </w:tcPr>
          <w:p w14:paraId="444CB717">
            <w:pPr>
              <w:pStyle w:val="180"/>
              <w:rPr>
                <w:rFonts w:hAnsi="宋体"/>
              </w:rPr>
            </w:pPr>
          </w:p>
        </w:tc>
        <w:tc>
          <w:tcPr>
            <w:tcW w:w="1783" w:type="pct"/>
            <w:shd w:val="clear" w:color="auto" w:fill="auto"/>
            <w:vAlign w:val="center"/>
          </w:tcPr>
          <w:p w14:paraId="4E18BDFA">
            <w:pPr>
              <w:pStyle w:val="180"/>
              <w:rPr>
                <w:rFonts w:hAnsi="宋体"/>
              </w:rPr>
            </w:pPr>
            <w:r>
              <w:rPr>
                <w:rFonts w:hint="eastAsia" w:hAnsi="宋体"/>
                <w:szCs w:val="18"/>
              </w:rPr>
              <w:t>＜3</w:t>
            </w:r>
          </w:p>
        </w:tc>
        <w:tc>
          <w:tcPr>
            <w:tcW w:w="918" w:type="pct"/>
          </w:tcPr>
          <w:p w14:paraId="263D0ABF">
            <w:pPr>
              <w:pStyle w:val="180"/>
              <w:rPr>
                <w:rFonts w:hAnsi="宋体"/>
                <w:szCs w:val="18"/>
              </w:rPr>
            </w:pPr>
            <w:r>
              <w:rPr>
                <w:rFonts w:hint="eastAsia" w:hAnsi="宋体"/>
                <w:szCs w:val="18"/>
              </w:rPr>
              <w:t>1</w:t>
            </w:r>
          </w:p>
        </w:tc>
      </w:tr>
      <w:tr w14:paraId="62880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28D3A6A3">
            <w:pPr>
              <w:pStyle w:val="180"/>
              <w:rPr>
                <w:rFonts w:hAnsi="宋体"/>
              </w:rPr>
            </w:pPr>
            <w:r>
              <w:rPr>
                <w:rFonts w:hint="eastAsia" w:hAnsi="宋体"/>
              </w:rPr>
              <w:t>8</w:t>
            </w:r>
          </w:p>
        </w:tc>
        <w:tc>
          <w:tcPr>
            <w:tcW w:w="662" w:type="pct"/>
            <w:vMerge w:val="restart"/>
            <w:shd w:val="clear" w:color="auto" w:fill="auto"/>
            <w:vAlign w:val="center"/>
          </w:tcPr>
          <w:p w14:paraId="5AAC9221">
            <w:pPr>
              <w:spacing w:line="240" w:lineRule="auto"/>
              <w:jc w:val="center"/>
              <w:rPr>
                <w:rFonts w:ascii="宋体" w:hAnsi="宋体"/>
                <w:sz w:val="18"/>
                <w:szCs w:val="18"/>
              </w:rPr>
            </w:pPr>
            <w:r>
              <w:rPr>
                <w:rFonts w:hint="eastAsia" w:ascii="宋体" w:hAnsi="宋体"/>
                <w:sz w:val="18"/>
                <w:szCs w:val="18"/>
              </w:rPr>
              <w:t>采空塌陷</w:t>
            </w:r>
          </w:p>
          <w:p w14:paraId="296EF0CE">
            <w:pPr>
              <w:pStyle w:val="180"/>
              <w:rPr>
                <w:rFonts w:hAnsi="宋体"/>
              </w:rPr>
            </w:pPr>
            <w:r>
              <w:rPr>
                <w:rFonts w:hint="eastAsia" w:hAnsi="宋体"/>
                <w:szCs w:val="18"/>
              </w:rPr>
              <w:t>发育程度</w:t>
            </w:r>
          </w:p>
        </w:tc>
        <w:tc>
          <w:tcPr>
            <w:tcW w:w="1133" w:type="pct"/>
            <w:vMerge w:val="restart"/>
            <w:shd w:val="clear" w:color="auto" w:fill="auto"/>
            <w:vAlign w:val="center"/>
          </w:tcPr>
          <w:p w14:paraId="2018C922">
            <w:pPr>
              <w:pStyle w:val="180"/>
              <w:rPr>
                <w:rFonts w:hAnsi="宋体"/>
              </w:rPr>
            </w:pPr>
            <w:r>
              <w:rPr>
                <w:rFonts w:hint="eastAsia" w:hAnsi="宋体"/>
                <w:szCs w:val="18"/>
              </w:rPr>
              <w:t>下沉量（mm/a）</w:t>
            </w:r>
          </w:p>
        </w:tc>
        <w:tc>
          <w:tcPr>
            <w:tcW w:w="1783" w:type="pct"/>
            <w:shd w:val="clear" w:color="auto" w:fill="auto"/>
            <w:vAlign w:val="center"/>
          </w:tcPr>
          <w:p w14:paraId="71E8DCF7">
            <w:pPr>
              <w:pStyle w:val="180"/>
              <w:rPr>
                <w:rFonts w:hAnsi="宋体"/>
              </w:rPr>
            </w:pPr>
            <w:r>
              <w:rPr>
                <w:rFonts w:hint="eastAsia" w:hAnsi="宋体"/>
                <w:szCs w:val="18"/>
              </w:rPr>
              <w:t>＞50</w:t>
            </w:r>
          </w:p>
        </w:tc>
        <w:tc>
          <w:tcPr>
            <w:tcW w:w="918" w:type="pct"/>
          </w:tcPr>
          <w:p w14:paraId="0D71D1BD">
            <w:pPr>
              <w:pStyle w:val="180"/>
              <w:rPr>
                <w:rFonts w:hAnsi="宋体"/>
                <w:szCs w:val="18"/>
              </w:rPr>
            </w:pPr>
            <w:r>
              <w:rPr>
                <w:rFonts w:hint="eastAsia" w:hAnsi="宋体"/>
                <w:szCs w:val="18"/>
              </w:rPr>
              <w:t>5</w:t>
            </w:r>
          </w:p>
        </w:tc>
      </w:tr>
      <w:tr w14:paraId="32266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17E5B097">
            <w:pPr>
              <w:pStyle w:val="180"/>
              <w:rPr>
                <w:rFonts w:hAnsi="宋体"/>
              </w:rPr>
            </w:pPr>
          </w:p>
        </w:tc>
        <w:tc>
          <w:tcPr>
            <w:tcW w:w="662" w:type="pct"/>
            <w:vMerge w:val="continue"/>
            <w:shd w:val="clear" w:color="auto" w:fill="auto"/>
            <w:vAlign w:val="center"/>
          </w:tcPr>
          <w:p w14:paraId="61B4618D">
            <w:pPr>
              <w:pStyle w:val="180"/>
              <w:rPr>
                <w:rFonts w:hAnsi="宋体"/>
              </w:rPr>
            </w:pPr>
          </w:p>
        </w:tc>
        <w:tc>
          <w:tcPr>
            <w:tcW w:w="1133" w:type="pct"/>
            <w:vMerge w:val="continue"/>
            <w:shd w:val="clear" w:color="auto" w:fill="auto"/>
            <w:vAlign w:val="center"/>
          </w:tcPr>
          <w:p w14:paraId="600F501D">
            <w:pPr>
              <w:pStyle w:val="180"/>
              <w:rPr>
                <w:rFonts w:hAnsi="宋体"/>
              </w:rPr>
            </w:pPr>
          </w:p>
        </w:tc>
        <w:tc>
          <w:tcPr>
            <w:tcW w:w="1783" w:type="pct"/>
            <w:shd w:val="clear" w:color="auto" w:fill="auto"/>
            <w:vAlign w:val="center"/>
          </w:tcPr>
          <w:p w14:paraId="468145F8">
            <w:pPr>
              <w:pStyle w:val="180"/>
              <w:rPr>
                <w:rFonts w:hAnsi="宋体"/>
              </w:rPr>
            </w:pPr>
            <w:r>
              <w:rPr>
                <w:rFonts w:hint="eastAsia" w:hAnsi="宋体"/>
                <w:szCs w:val="18"/>
              </w:rPr>
              <w:t>10～50</w:t>
            </w:r>
          </w:p>
        </w:tc>
        <w:tc>
          <w:tcPr>
            <w:tcW w:w="918" w:type="pct"/>
          </w:tcPr>
          <w:p w14:paraId="68662856">
            <w:pPr>
              <w:pStyle w:val="180"/>
              <w:rPr>
                <w:rFonts w:hAnsi="宋体"/>
                <w:szCs w:val="18"/>
              </w:rPr>
            </w:pPr>
            <w:r>
              <w:rPr>
                <w:rFonts w:hint="eastAsia" w:hAnsi="宋体"/>
                <w:szCs w:val="18"/>
              </w:rPr>
              <w:t>3</w:t>
            </w:r>
          </w:p>
        </w:tc>
      </w:tr>
      <w:tr w14:paraId="76AE6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05FD9136">
            <w:pPr>
              <w:pStyle w:val="180"/>
              <w:rPr>
                <w:rFonts w:hAnsi="宋体"/>
              </w:rPr>
            </w:pPr>
          </w:p>
        </w:tc>
        <w:tc>
          <w:tcPr>
            <w:tcW w:w="662" w:type="pct"/>
            <w:vMerge w:val="continue"/>
            <w:shd w:val="clear" w:color="auto" w:fill="auto"/>
            <w:vAlign w:val="center"/>
          </w:tcPr>
          <w:p w14:paraId="6BB880C8">
            <w:pPr>
              <w:pStyle w:val="180"/>
              <w:rPr>
                <w:rFonts w:hAnsi="宋体"/>
              </w:rPr>
            </w:pPr>
          </w:p>
        </w:tc>
        <w:tc>
          <w:tcPr>
            <w:tcW w:w="1133" w:type="pct"/>
            <w:vMerge w:val="continue"/>
            <w:shd w:val="clear" w:color="auto" w:fill="auto"/>
            <w:vAlign w:val="center"/>
          </w:tcPr>
          <w:p w14:paraId="20317364">
            <w:pPr>
              <w:pStyle w:val="180"/>
              <w:rPr>
                <w:rFonts w:hAnsi="宋体"/>
              </w:rPr>
            </w:pPr>
          </w:p>
        </w:tc>
        <w:tc>
          <w:tcPr>
            <w:tcW w:w="1783" w:type="pct"/>
            <w:shd w:val="clear" w:color="auto" w:fill="auto"/>
            <w:vAlign w:val="center"/>
          </w:tcPr>
          <w:p w14:paraId="24248B30">
            <w:pPr>
              <w:pStyle w:val="180"/>
              <w:rPr>
                <w:rFonts w:hAnsi="宋体"/>
              </w:rPr>
            </w:pPr>
            <w:r>
              <w:rPr>
                <w:rFonts w:hint="eastAsia" w:hAnsi="宋体"/>
                <w:szCs w:val="18"/>
              </w:rPr>
              <w:t>＜10</w:t>
            </w:r>
          </w:p>
        </w:tc>
        <w:tc>
          <w:tcPr>
            <w:tcW w:w="918" w:type="pct"/>
          </w:tcPr>
          <w:p w14:paraId="28FC6B55">
            <w:pPr>
              <w:pStyle w:val="180"/>
              <w:rPr>
                <w:rFonts w:hAnsi="宋体"/>
                <w:szCs w:val="18"/>
              </w:rPr>
            </w:pPr>
            <w:r>
              <w:rPr>
                <w:rFonts w:hint="eastAsia" w:hAnsi="宋体"/>
                <w:szCs w:val="18"/>
              </w:rPr>
              <w:t>1</w:t>
            </w:r>
          </w:p>
        </w:tc>
      </w:tr>
      <w:tr w14:paraId="0F897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1C93B4C7">
            <w:pPr>
              <w:pStyle w:val="180"/>
              <w:rPr>
                <w:rFonts w:hAnsi="宋体"/>
              </w:rPr>
            </w:pPr>
            <w:r>
              <w:rPr>
                <w:rFonts w:hint="eastAsia" w:hAnsi="宋体"/>
              </w:rPr>
              <w:t>9</w:t>
            </w:r>
          </w:p>
        </w:tc>
        <w:tc>
          <w:tcPr>
            <w:tcW w:w="662" w:type="pct"/>
            <w:vMerge w:val="continue"/>
            <w:shd w:val="clear" w:color="auto" w:fill="auto"/>
            <w:vAlign w:val="center"/>
          </w:tcPr>
          <w:p w14:paraId="698B033E">
            <w:pPr>
              <w:pStyle w:val="180"/>
              <w:rPr>
                <w:rFonts w:hAnsi="宋体"/>
              </w:rPr>
            </w:pPr>
          </w:p>
        </w:tc>
        <w:tc>
          <w:tcPr>
            <w:tcW w:w="1133" w:type="pct"/>
            <w:vMerge w:val="restart"/>
            <w:shd w:val="clear" w:color="auto" w:fill="auto"/>
            <w:vAlign w:val="center"/>
          </w:tcPr>
          <w:p w14:paraId="15085045">
            <w:pPr>
              <w:pStyle w:val="180"/>
              <w:rPr>
                <w:rFonts w:hAnsi="宋体"/>
              </w:rPr>
            </w:pPr>
            <w:r>
              <w:rPr>
                <w:rFonts w:hint="eastAsia" w:hAnsi="宋体"/>
                <w:szCs w:val="18"/>
              </w:rPr>
              <w:t>倾斜（mm/m）</w:t>
            </w:r>
          </w:p>
        </w:tc>
        <w:tc>
          <w:tcPr>
            <w:tcW w:w="1783" w:type="pct"/>
            <w:shd w:val="clear" w:color="auto" w:fill="auto"/>
            <w:vAlign w:val="center"/>
          </w:tcPr>
          <w:p w14:paraId="7AFC2C5F">
            <w:pPr>
              <w:pStyle w:val="180"/>
              <w:rPr>
                <w:rFonts w:hAnsi="宋体"/>
              </w:rPr>
            </w:pPr>
            <w:r>
              <w:rPr>
                <w:rFonts w:hint="eastAsia" w:hAnsi="宋体"/>
                <w:szCs w:val="18"/>
              </w:rPr>
              <w:t>＞6</w:t>
            </w:r>
          </w:p>
        </w:tc>
        <w:tc>
          <w:tcPr>
            <w:tcW w:w="918" w:type="pct"/>
          </w:tcPr>
          <w:p w14:paraId="373F3964">
            <w:pPr>
              <w:pStyle w:val="180"/>
              <w:rPr>
                <w:rFonts w:hAnsi="宋体"/>
                <w:szCs w:val="18"/>
              </w:rPr>
            </w:pPr>
            <w:r>
              <w:rPr>
                <w:rFonts w:hint="eastAsia" w:hAnsi="宋体"/>
                <w:szCs w:val="18"/>
              </w:rPr>
              <w:t>5</w:t>
            </w:r>
          </w:p>
        </w:tc>
      </w:tr>
      <w:tr w14:paraId="32AD6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2759E893">
            <w:pPr>
              <w:pStyle w:val="180"/>
              <w:rPr>
                <w:rFonts w:hAnsi="宋体"/>
              </w:rPr>
            </w:pPr>
          </w:p>
        </w:tc>
        <w:tc>
          <w:tcPr>
            <w:tcW w:w="662" w:type="pct"/>
            <w:vMerge w:val="continue"/>
            <w:shd w:val="clear" w:color="auto" w:fill="auto"/>
            <w:vAlign w:val="center"/>
          </w:tcPr>
          <w:p w14:paraId="3F3C2100">
            <w:pPr>
              <w:pStyle w:val="180"/>
              <w:rPr>
                <w:rFonts w:hAnsi="宋体"/>
              </w:rPr>
            </w:pPr>
          </w:p>
        </w:tc>
        <w:tc>
          <w:tcPr>
            <w:tcW w:w="1133" w:type="pct"/>
            <w:vMerge w:val="continue"/>
            <w:shd w:val="clear" w:color="auto" w:fill="auto"/>
            <w:vAlign w:val="center"/>
          </w:tcPr>
          <w:p w14:paraId="00CACF6D">
            <w:pPr>
              <w:pStyle w:val="180"/>
              <w:rPr>
                <w:rFonts w:hAnsi="宋体"/>
              </w:rPr>
            </w:pPr>
          </w:p>
        </w:tc>
        <w:tc>
          <w:tcPr>
            <w:tcW w:w="1783" w:type="pct"/>
            <w:shd w:val="clear" w:color="auto" w:fill="auto"/>
            <w:vAlign w:val="center"/>
          </w:tcPr>
          <w:p w14:paraId="7F843494">
            <w:pPr>
              <w:pStyle w:val="180"/>
              <w:rPr>
                <w:rFonts w:hAnsi="宋体"/>
              </w:rPr>
            </w:pPr>
            <w:r>
              <w:rPr>
                <w:rFonts w:hint="eastAsia" w:hAnsi="宋体"/>
                <w:szCs w:val="18"/>
              </w:rPr>
              <w:t>3～6</w:t>
            </w:r>
          </w:p>
        </w:tc>
        <w:tc>
          <w:tcPr>
            <w:tcW w:w="918" w:type="pct"/>
          </w:tcPr>
          <w:p w14:paraId="0DE20383">
            <w:pPr>
              <w:pStyle w:val="180"/>
              <w:rPr>
                <w:rFonts w:hAnsi="宋体"/>
                <w:szCs w:val="18"/>
              </w:rPr>
            </w:pPr>
            <w:r>
              <w:rPr>
                <w:rFonts w:hint="eastAsia" w:hAnsi="宋体"/>
                <w:szCs w:val="18"/>
              </w:rPr>
              <w:t>3</w:t>
            </w:r>
          </w:p>
        </w:tc>
      </w:tr>
      <w:tr w14:paraId="6C23E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424597C7">
            <w:pPr>
              <w:pStyle w:val="180"/>
              <w:rPr>
                <w:rFonts w:hAnsi="宋体"/>
              </w:rPr>
            </w:pPr>
          </w:p>
        </w:tc>
        <w:tc>
          <w:tcPr>
            <w:tcW w:w="662" w:type="pct"/>
            <w:vMerge w:val="continue"/>
            <w:shd w:val="clear" w:color="auto" w:fill="auto"/>
            <w:vAlign w:val="center"/>
          </w:tcPr>
          <w:p w14:paraId="02DC917A">
            <w:pPr>
              <w:pStyle w:val="180"/>
              <w:rPr>
                <w:rFonts w:hAnsi="宋体"/>
              </w:rPr>
            </w:pPr>
          </w:p>
        </w:tc>
        <w:tc>
          <w:tcPr>
            <w:tcW w:w="1133" w:type="pct"/>
            <w:vMerge w:val="continue"/>
            <w:shd w:val="clear" w:color="auto" w:fill="auto"/>
            <w:vAlign w:val="center"/>
          </w:tcPr>
          <w:p w14:paraId="62C5A32D">
            <w:pPr>
              <w:pStyle w:val="180"/>
              <w:rPr>
                <w:rFonts w:hAnsi="宋体"/>
              </w:rPr>
            </w:pPr>
          </w:p>
        </w:tc>
        <w:tc>
          <w:tcPr>
            <w:tcW w:w="1783" w:type="pct"/>
            <w:shd w:val="clear" w:color="auto" w:fill="auto"/>
            <w:vAlign w:val="center"/>
          </w:tcPr>
          <w:p w14:paraId="5311D57B">
            <w:pPr>
              <w:pStyle w:val="180"/>
              <w:rPr>
                <w:rFonts w:hAnsi="宋体"/>
              </w:rPr>
            </w:pPr>
            <w:r>
              <w:rPr>
                <w:rFonts w:hint="eastAsia" w:hAnsi="宋体"/>
                <w:szCs w:val="18"/>
              </w:rPr>
              <w:t>＜3</w:t>
            </w:r>
          </w:p>
        </w:tc>
        <w:tc>
          <w:tcPr>
            <w:tcW w:w="918" w:type="pct"/>
          </w:tcPr>
          <w:p w14:paraId="6E37C23F">
            <w:pPr>
              <w:pStyle w:val="180"/>
              <w:rPr>
                <w:rFonts w:hAnsi="宋体"/>
                <w:szCs w:val="18"/>
              </w:rPr>
            </w:pPr>
            <w:r>
              <w:rPr>
                <w:rFonts w:hint="eastAsia" w:hAnsi="宋体"/>
                <w:szCs w:val="18"/>
              </w:rPr>
              <w:t>1</w:t>
            </w:r>
          </w:p>
        </w:tc>
      </w:tr>
      <w:tr w14:paraId="13A7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376F1501">
            <w:pPr>
              <w:pStyle w:val="180"/>
              <w:rPr>
                <w:rFonts w:hAnsi="宋体"/>
              </w:rPr>
            </w:pPr>
            <w:r>
              <w:rPr>
                <w:rFonts w:hint="eastAsia" w:hAnsi="宋体"/>
              </w:rPr>
              <w:t>10</w:t>
            </w:r>
          </w:p>
        </w:tc>
        <w:tc>
          <w:tcPr>
            <w:tcW w:w="662" w:type="pct"/>
            <w:vMerge w:val="continue"/>
            <w:shd w:val="clear" w:color="auto" w:fill="auto"/>
            <w:vAlign w:val="center"/>
          </w:tcPr>
          <w:p w14:paraId="3B859E35">
            <w:pPr>
              <w:pStyle w:val="180"/>
              <w:rPr>
                <w:rFonts w:hAnsi="宋体"/>
              </w:rPr>
            </w:pPr>
          </w:p>
        </w:tc>
        <w:tc>
          <w:tcPr>
            <w:tcW w:w="1133" w:type="pct"/>
            <w:vMerge w:val="restart"/>
            <w:shd w:val="clear" w:color="auto" w:fill="auto"/>
            <w:vAlign w:val="center"/>
          </w:tcPr>
          <w:p w14:paraId="10131EBD">
            <w:pPr>
              <w:pStyle w:val="180"/>
              <w:rPr>
                <w:rFonts w:hAnsi="宋体"/>
              </w:rPr>
            </w:pPr>
            <w:r>
              <w:rPr>
                <w:rFonts w:hint="eastAsia" w:hAnsi="宋体"/>
                <w:szCs w:val="18"/>
              </w:rPr>
              <w:t>水平变形（mm/m）</w:t>
            </w:r>
          </w:p>
        </w:tc>
        <w:tc>
          <w:tcPr>
            <w:tcW w:w="1783" w:type="pct"/>
            <w:shd w:val="clear" w:color="auto" w:fill="auto"/>
            <w:vAlign w:val="center"/>
          </w:tcPr>
          <w:p w14:paraId="488EF713">
            <w:pPr>
              <w:pStyle w:val="180"/>
              <w:rPr>
                <w:rFonts w:hAnsi="宋体"/>
              </w:rPr>
            </w:pPr>
            <w:r>
              <w:rPr>
                <w:rFonts w:hint="eastAsia" w:hAnsi="宋体"/>
                <w:szCs w:val="18"/>
              </w:rPr>
              <w:t>＞4</w:t>
            </w:r>
          </w:p>
        </w:tc>
        <w:tc>
          <w:tcPr>
            <w:tcW w:w="918" w:type="pct"/>
          </w:tcPr>
          <w:p w14:paraId="2FA97982">
            <w:pPr>
              <w:pStyle w:val="180"/>
              <w:rPr>
                <w:rFonts w:hAnsi="宋体"/>
                <w:szCs w:val="18"/>
              </w:rPr>
            </w:pPr>
            <w:r>
              <w:rPr>
                <w:rFonts w:hint="eastAsia" w:hAnsi="宋体"/>
                <w:szCs w:val="18"/>
              </w:rPr>
              <w:t>5</w:t>
            </w:r>
          </w:p>
        </w:tc>
      </w:tr>
      <w:tr w14:paraId="6150D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04" w:type="pct"/>
            <w:vMerge w:val="continue"/>
            <w:shd w:val="clear" w:color="auto" w:fill="auto"/>
            <w:vAlign w:val="center"/>
          </w:tcPr>
          <w:p w14:paraId="0FD1EDE4">
            <w:pPr>
              <w:pStyle w:val="180"/>
              <w:rPr>
                <w:rFonts w:hAnsi="宋体"/>
              </w:rPr>
            </w:pPr>
          </w:p>
        </w:tc>
        <w:tc>
          <w:tcPr>
            <w:tcW w:w="662" w:type="pct"/>
            <w:vMerge w:val="continue"/>
            <w:shd w:val="clear" w:color="auto" w:fill="auto"/>
            <w:vAlign w:val="center"/>
          </w:tcPr>
          <w:p w14:paraId="03A00026">
            <w:pPr>
              <w:pStyle w:val="180"/>
              <w:rPr>
                <w:rFonts w:hAnsi="宋体"/>
              </w:rPr>
            </w:pPr>
          </w:p>
        </w:tc>
        <w:tc>
          <w:tcPr>
            <w:tcW w:w="1133" w:type="pct"/>
            <w:vMerge w:val="continue"/>
            <w:shd w:val="clear" w:color="auto" w:fill="auto"/>
            <w:vAlign w:val="center"/>
          </w:tcPr>
          <w:p w14:paraId="2C326DC0">
            <w:pPr>
              <w:pStyle w:val="180"/>
              <w:rPr>
                <w:rFonts w:hAnsi="宋体"/>
              </w:rPr>
            </w:pPr>
          </w:p>
        </w:tc>
        <w:tc>
          <w:tcPr>
            <w:tcW w:w="1783" w:type="pct"/>
            <w:shd w:val="clear" w:color="auto" w:fill="auto"/>
            <w:vAlign w:val="center"/>
          </w:tcPr>
          <w:p w14:paraId="25A91E37">
            <w:pPr>
              <w:pStyle w:val="180"/>
              <w:rPr>
                <w:rFonts w:hAnsi="宋体"/>
              </w:rPr>
            </w:pPr>
            <w:r>
              <w:rPr>
                <w:rFonts w:hint="eastAsia" w:hAnsi="宋体"/>
                <w:szCs w:val="18"/>
              </w:rPr>
              <w:t>2～4</w:t>
            </w:r>
          </w:p>
        </w:tc>
        <w:tc>
          <w:tcPr>
            <w:tcW w:w="918" w:type="pct"/>
          </w:tcPr>
          <w:p w14:paraId="63F8F80C">
            <w:pPr>
              <w:pStyle w:val="180"/>
              <w:rPr>
                <w:rFonts w:hAnsi="宋体"/>
                <w:szCs w:val="18"/>
              </w:rPr>
            </w:pPr>
            <w:r>
              <w:rPr>
                <w:rFonts w:hint="eastAsia" w:hAnsi="宋体"/>
                <w:szCs w:val="18"/>
              </w:rPr>
              <w:t>3</w:t>
            </w:r>
          </w:p>
        </w:tc>
      </w:tr>
      <w:tr w14:paraId="5E461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7638072C">
            <w:pPr>
              <w:pStyle w:val="180"/>
              <w:rPr>
                <w:rFonts w:hAnsi="宋体"/>
              </w:rPr>
            </w:pPr>
          </w:p>
        </w:tc>
        <w:tc>
          <w:tcPr>
            <w:tcW w:w="662" w:type="pct"/>
            <w:vMerge w:val="continue"/>
            <w:shd w:val="clear" w:color="auto" w:fill="auto"/>
            <w:vAlign w:val="center"/>
          </w:tcPr>
          <w:p w14:paraId="5E782116">
            <w:pPr>
              <w:pStyle w:val="180"/>
              <w:rPr>
                <w:rFonts w:hAnsi="宋体"/>
              </w:rPr>
            </w:pPr>
          </w:p>
        </w:tc>
        <w:tc>
          <w:tcPr>
            <w:tcW w:w="1133" w:type="pct"/>
            <w:vMerge w:val="continue"/>
            <w:shd w:val="clear" w:color="auto" w:fill="auto"/>
            <w:vAlign w:val="center"/>
          </w:tcPr>
          <w:p w14:paraId="419A3DCE">
            <w:pPr>
              <w:pStyle w:val="180"/>
              <w:rPr>
                <w:rFonts w:hAnsi="宋体"/>
              </w:rPr>
            </w:pPr>
          </w:p>
        </w:tc>
        <w:tc>
          <w:tcPr>
            <w:tcW w:w="1783" w:type="pct"/>
            <w:shd w:val="clear" w:color="auto" w:fill="auto"/>
            <w:vAlign w:val="center"/>
          </w:tcPr>
          <w:p w14:paraId="5541E87E">
            <w:pPr>
              <w:pStyle w:val="180"/>
              <w:rPr>
                <w:rFonts w:hAnsi="宋体"/>
              </w:rPr>
            </w:pPr>
            <w:r>
              <w:rPr>
                <w:rFonts w:hint="eastAsia" w:hAnsi="宋体"/>
                <w:szCs w:val="18"/>
              </w:rPr>
              <w:t>＜2</w:t>
            </w:r>
          </w:p>
        </w:tc>
        <w:tc>
          <w:tcPr>
            <w:tcW w:w="918" w:type="pct"/>
          </w:tcPr>
          <w:p w14:paraId="5C810FC0">
            <w:pPr>
              <w:pStyle w:val="180"/>
              <w:rPr>
                <w:rFonts w:hAnsi="宋体"/>
                <w:szCs w:val="18"/>
              </w:rPr>
            </w:pPr>
            <w:r>
              <w:rPr>
                <w:rFonts w:hint="eastAsia" w:hAnsi="宋体"/>
                <w:szCs w:val="18"/>
              </w:rPr>
              <w:t>1</w:t>
            </w:r>
          </w:p>
        </w:tc>
      </w:tr>
      <w:tr w14:paraId="340E5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restart"/>
            <w:shd w:val="clear" w:color="auto" w:fill="auto"/>
            <w:vAlign w:val="center"/>
          </w:tcPr>
          <w:p w14:paraId="427D4E6E">
            <w:pPr>
              <w:pStyle w:val="180"/>
              <w:rPr>
                <w:rFonts w:hAnsi="宋体"/>
              </w:rPr>
            </w:pPr>
            <w:r>
              <w:rPr>
                <w:rFonts w:hint="eastAsia" w:hAnsi="宋体"/>
              </w:rPr>
              <w:t>11</w:t>
            </w:r>
          </w:p>
        </w:tc>
        <w:tc>
          <w:tcPr>
            <w:tcW w:w="662" w:type="pct"/>
            <w:vMerge w:val="continue"/>
            <w:shd w:val="clear" w:color="auto" w:fill="auto"/>
            <w:vAlign w:val="center"/>
          </w:tcPr>
          <w:p w14:paraId="5C36B683">
            <w:pPr>
              <w:pStyle w:val="180"/>
              <w:rPr>
                <w:rFonts w:hAnsi="宋体"/>
              </w:rPr>
            </w:pPr>
          </w:p>
        </w:tc>
        <w:tc>
          <w:tcPr>
            <w:tcW w:w="1133" w:type="pct"/>
            <w:vMerge w:val="restart"/>
            <w:shd w:val="clear" w:color="auto" w:fill="auto"/>
            <w:vAlign w:val="center"/>
          </w:tcPr>
          <w:p w14:paraId="3A04B6A7">
            <w:pPr>
              <w:pStyle w:val="180"/>
              <w:rPr>
                <w:rFonts w:hAnsi="宋体"/>
              </w:rPr>
            </w:pPr>
            <w:r>
              <w:rPr>
                <w:rFonts w:hint="eastAsia" w:hAnsi="宋体"/>
                <w:szCs w:val="18"/>
              </w:rPr>
              <w:t>地形曲率（mm/m</w:t>
            </w:r>
            <w:r>
              <w:rPr>
                <w:rFonts w:hint="eastAsia" w:hAnsi="宋体"/>
                <w:szCs w:val="18"/>
                <w:vertAlign w:val="superscript"/>
              </w:rPr>
              <w:t>2</w:t>
            </w:r>
            <w:r>
              <w:rPr>
                <w:rFonts w:hint="eastAsia" w:hAnsi="宋体"/>
                <w:szCs w:val="18"/>
              </w:rPr>
              <w:t>）</w:t>
            </w:r>
          </w:p>
        </w:tc>
        <w:tc>
          <w:tcPr>
            <w:tcW w:w="1783" w:type="pct"/>
            <w:shd w:val="clear" w:color="auto" w:fill="auto"/>
            <w:vAlign w:val="center"/>
          </w:tcPr>
          <w:p w14:paraId="61DFF032">
            <w:pPr>
              <w:pStyle w:val="180"/>
              <w:rPr>
                <w:rFonts w:hAnsi="宋体"/>
              </w:rPr>
            </w:pPr>
            <w:r>
              <w:rPr>
                <w:rFonts w:hint="eastAsia" w:hAnsi="宋体"/>
                <w:szCs w:val="18"/>
              </w:rPr>
              <w:t>＞0.3</w:t>
            </w:r>
          </w:p>
        </w:tc>
        <w:tc>
          <w:tcPr>
            <w:tcW w:w="918" w:type="pct"/>
          </w:tcPr>
          <w:p w14:paraId="670E8B99">
            <w:pPr>
              <w:pStyle w:val="180"/>
              <w:rPr>
                <w:rFonts w:hAnsi="宋体"/>
                <w:szCs w:val="18"/>
              </w:rPr>
            </w:pPr>
            <w:r>
              <w:rPr>
                <w:rFonts w:hint="eastAsia" w:hAnsi="宋体"/>
                <w:szCs w:val="18"/>
              </w:rPr>
              <w:t>5</w:t>
            </w:r>
          </w:p>
        </w:tc>
      </w:tr>
      <w:tr w14:paraId="74D35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2598ED6A">
            <w:pPr>
              <w:pStyle w:val="180"/>
              <w:rPr>
                <w:rFonts w:hAnsi="宋体"/>
              </w:rPr>
            </w:pPr>
          </w:p>
        </w:tc>
        <w:tc>
          <w:tcPr>
            <w:tcW w:w="662" w:type="pct"/>
            <w:vMerge w:val="continue"/>
            <w:shd w:val="clear" w:color="auto" w:fill="auto"/>
            <w:vAlign w:val="center"/>
          </w:tcPr>
          <w:p w14:paraId="76D8B559">
            <w:pPr>
              <w:pStyle w:val="180"/>
              <w:rPr>
                <w:rFonts w:hAnsi="宋体"/>
              </w:rPr>
            </w:pPr>
          </w:p>
        </w:tc>
        <w:tc>
          <w:tcPr>
            <w:tcW w:w="1133" w:type="pct"/>
            <w:vMerge w:val="continue"/>
            <w:shd w:val="clear" w:color="auto" w:fill="auto"/>
            <w:vAlign w:val="center"/>
          </w:tcPr>
          <w:p w14:paraId="72B22039">
            <w:pPr>
              <w:pStyle w:val="180"/>
              <w:rPr>
                <w:rFonts w:hAnsi="宋体"/>
              </w:rPr>
            </w:pPr>
          </w:p>
        </w:tc>
        <w:tc>
          <w:tcPr>
            <w:tcW w:w="1783" w:type="pct"/>
            <w:shd w:val="clear" w:color="auto" w:fill="auto"/>
            <w:vAlign w:val="center"/>
          </w:tcPr>
          <w:p w14:paraId="368B2584">
            <w:pPr>
              <w:pStyle w:val="180"/>
              <w:rPr>
                <w:rFonts w:hAnsi="宋体"/>
              </w:rPr>
            </w:pPr>
            <w:r>
              <w:rPr>
                <w:rFonts w:hint="eastAsia" w:hAnsi="宋体"/>
                <w:szCs w:val="18"/>
              </w:rPr>
              <w:t>0.2～0.3</w:t>
            </w:r>
          </w:p>
        </w:tc>
        <w:tc>
          <w:tcPr>
            <w:tcW w:w="918" w:type="pct"/>
          </w:tcPr>
          <w:p w14:paraId="132B07B5">
            <w:pPr>
              <w:pStyle w:val="180"/>
              <w:rPr>
                <w:rFonts w:hAnsi="宋体"/>
                <w:szCs w:val="18"/>
              </w:rPr>
            </w:pPr>
            <w:r>
              <w:rPr>
                <w:rFonts w:hint="eastAsia" w:hAnsi="宋体"/>
                <w:szCs w:val="18"/>
              </w:rPr>
              <w:t>3</w:t>
            </w:r>
          </w:p>
        </w:tc>
      </w:tr>
      <w:tr w14:paraId="32E8F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04" w:type="pct"/>
            <w:vMerge w:val="continue"/>
            <w:shd w:val="clear" w:color="auto" w:fill="auto"/>
            <w:vAlign w:val="center"/>
          </w:tcPr>
          <w:p w14:paraId="6B45F571">
            <w:pPr>
              <w:pStyle w:val="180"/>
              <w:rPr>
                <w:rFonts w:hAnsi="宋体"/>
              </w:rPr>
            </w:pPr>
          </w:p>
        </w:tc>
        <w:tc>
          <w:tcPr>
            <w:tcW w:w="662" w:type="pct"/>
            <w:vMerge w:val="continue"/>
            <w:shd w:val="clear" w:color="auto" w:fill="auto"/>
            <w:vAlign w:val="center"/>
          </w:tcPr>
          <w:p w14:paraId="75E5D3A1">
            <w:pPr>
              <w:pStyle w:val="180"/>
              <w:rPr>
                <w:rFonts w:hAnsi="宋体"/>
              </w:rPr>
            </w:pPr>
          </w:p>
        </w:tc>
        <w:tc>
          <w:tcPr>
            <w:tcW w:w="1133" w:type="pct"/>
            <w:vMerge w:val="continue"/>
            <w:shd w:val="clear" w:color="auto" w:fill="auto"/>
            <w:vAlign w:val="center"/>
          </w:tcPr>
          <w:p w14:paraId="0CF4B0C4">
            <w:pPr>
              <w:pStyle w:val="180"/>
              <w:rPr>
                <w:rFonts w:hAnsi="宋体"/>
              </w:rPr>
            </w:pPr>
          </w:p>
        </w:tc>
        <w:tc>
          <w:tcPr>
            <w:tcW w:w="1783" w:type="pct"/>
            <w:shd w:val="clear" w:color="auto" w:fill="auto"/>
            <w:vAlign w:val="center"/>
          </w:tcPr>
          <w:p w14:paraId="222E0AA0">
            <w:pPr>
              <w:pStyle w:val="180"/>
              <w:rPr>
                <w:rFonts w:hAnsi="宋体"/>
              </w:rPr>
            </w:pPr>
            <w:r>
              <w:rPr>
                <w:rFonts w:hint="eastAsia" w:hAnsi="宋体"/>
                <w:szCs w:val="18"/>
              </w:rPr>
              <w:t>＜0.2</w:t>
            </w:r>
          </w:p>
        </w:tc>
        <w:tc>
          <w:tcPr>
            <w:tcW w:w="918" w:type="pct"/>
          </w:tcPr>
          <w:p w14:paraId="5B5A512C">
            <w:pPr>
              <w:pStyle w:val="180"/>
              <w:rPr>
                <w:rFonts w:hAnsi="宋体"/>
                <w:szCs w:val="18"/>
              </w:rPr>
            </w:pPr>
            <w:r>
              <w:rPr>
                <w:rFonts w:hint="eastAsia" w:hAnsi="宋体"/>
                <w:szCs w:val="18"/>
              </w:rPr>
              <w:t>1</w:t>
            </w:r>
          </w:p>
        </w:tc>
      </w:tr>
    </w:tbl>
    <w:p w14:paraId="364DAD62">
      <w:pPr>
        <w:pStyle w:val="58"/>
        <w:ind w:firstLine="420"/>
      </w:pPr>
      <w:r>
        <w:rPr>
          <w:rFonts w:hint="eastAsia"/>
        </w:rPr>
        <w:t>地面塌陷易发性指数可按下式估算：</w:t>
      </w:r>
    </w:p>
    <w:p w14:paraId="233A45C5">
      <w:pPr>
        <w:pStyle w:val="115"/>
      </w:pPr>
      <w:r>
        <w:rPr>
          <w:rFonts w:hint="eastAsia"/>
        </w:rPr>
        <w:tab/>
      </w:r>
      <m:oMath>
        <m:r>
          <m:rPr/>
          <w:rPr>
            <w:rFonts w:ascii="Cambria Math" w:hAnsi="Cambria Math"/>
            <w:sz w:val="24"/>
            <w:szCs w:val="24"/>
          </w:rPr>
          <m:t>Y</m:t>
        </m:r>
        <m:r>
          <m:rPr>
            <m:sty m:val="p"/>
          </m:rPr>
          <w:rPr>
            <w:rFonts w:ascii="Cambria Math" w:hAnsi="Cambria Math"/>
            <w:sz w:val="24"/>
            <w:szCs w:val="24"/>
          </w:rPr>
          <m:t>=</m:t>
        </m:r>
        <m:limLow>
          <m:limLowPr>
            <m:ctrlPr>
              <w:rPr>
                <w:rFonts w:ascii="Cambria Math" w:hAnsi="Cambria Math"/>
                <w:i/>
                <w:sz w:val="24"/>
                <w:szCs w:val="24"/>
              </w:rPr>
            </m:ctrlPr>
          </m:limLowPr>
          <m:e>
            <m:limUpp>
              <m:limUppPr>
                <m:ctrlPr>
                  <w:rPr>
                    <w:rFonts w:ascii="Cambria Math" w:hAnsi="Cambria Math"/>
                    <w:i/>
                    <w:sz w:val="24"/>
                    <w:szCs w:val="24"/>
                  </w:rPr>
                </m:ctrlPr>
              </m:limUppPr>
              <m:e>
                <m:r>
                  <m:rPr/>
                  <w:rPr>
                    <w:rFonts w:ascii="Cambria Math" w:hAnsi="Cambria Math"/>
                    <w:sz w:val="24"/>
                    <w:szCs w:val="24"/>
                  </w:rPr>
                  <m:t>∑</m:t>
                </m:r>
                <m:ctrlPr>
                  <w:rPr>
                    <w:rFonts w:ascii="Cambria Math" w:hAnsi="Cambria Math"/>
                    <w:i/>
                    <w:sz w:val="24"/>
                    <w:szCs w:val="24"/>
                  </w:rPr>
                </m:ctrlPr>
              </m:e>
              <m:lim>
                <m:r>
                  <m:rPr/>
                  <w:rPr>
                    <w:rFonts w:ascii="Cambria Math" w:hAnsi="Cambria Math"/>
                    <w:sz w:val="24"/>
                    <w:szCs w:val="24"/>
                  </w:rPr>
                  <m:t>n</m:t>
                </m:r>
                <m:ctrlPr>
                  <w:rPr>
                    <w:rFonts w:ascii="Cambria Math" w:hAnsi="Cambria Math"/>
                    <w:i/>
                    <w:sz w:val="24"/>
                    <w:szCs w:val="24"/>
                  </w:rPr>
                </m:ctrlPr>
              </m:lim>
            </m:limUpp>
            <m:ctrlPr>
              <w:rPr>
                <w:rFonts w:ascii="Cambria Math" w:hAnsi="Cambria Math"/>
                <w:i/>
                <w:sz w:val="24"/>
                <w:szCs w:val="24"/>
              </w:rPr>
            </m:ctrlPr>
          </m:e>
          <m:lim>
            <m:r>
              <m:rPr/>
              <w:rPr>
                <w:rFonts w:ascii="Cambria Math" w:hAnsi="Cambria Math"/>
                <w:sz w:val="24"/>
                <w:szCs w:val="24"/>
              </w:rPr>
              <m:t>i=1</m:t>
            </m:r>
            <m:ctrlPr>
              <w:rPr>
                <w:rFonts w:ascii="Cambria Math" w:hAnsi="Cambria Math"/>
                <w:i/>
                <w:sz w:val="24"/>
                <w:szCs w:val="24"/>
              </w:rPr>
            </m:ctrlPr>
          </m:lim>
        </m:limLow>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vertAlign w:val="subscript"/>
              </w:rPr>
              <m:t>i</m:t>
            </m:r>
            <m:ctrlPr>
              <w:rPr>
                <w:rFonts w:ascii="Cambria Math" w:hAnsi="Cambria Math"/>
                <w:i/>
              </w:rPr>
            </m:ctrlPr>
          </m:sub>
        </m:sSub>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vertAlign w:val="subscript"/>
              </w:rPr>
              <m:t>i</m:t>
            </m:r>
            <m:ctrlPr>
              <w:rPr>
                <w:rFonts w:ascii="Cambria Math" w:hAnsi="Cambria Math"/>
                <w:i/>
              </w:rPr>
            </m:ctrlPr>
          </m:sub>
        </m:sSub>
        <m:r>
          <m:rPr/>
          <w:rPr>
            <w:rFonts w:ascii="Cambria Math" w:hAnsi="Cambria Math"/>
            <w:vertAlign w:val="subscript"/>
          </w:rPr>
          <m:t xml:space="preserve"> </m:t>
        </m:r>
      </m:oMath>
      <w:r>
        <w:rPr>
          <w:rFonts w:hint="eastAsia" w:ascii="微软雅黑" w:hAnsi="微软雅黑" w:eastAsia="微软雅黑"/>
        </w:rPr>
        <w:tab/>
      </w:r>
      <w:r>
        <w:t>(I.</w:t>
      </w:r>
      <w:r>
        <w:rPr>
          <w:rFonts w:hint="eastAsia"/>
        </w:rPr>
        <w:t>8</w:t>
      </w:r>
      <w:r>
        <w:t>)</w:t>
      </w:r>
    </w:p>
    <w:p w14:paraId="5923B8AA">
      <w:pPr>
        <w:pStyle w:val="57"/>
        <w:ind w:firstLine="420"/>
      </w:pPr>
      <w:r>
        <w:rPr>
          <w:rFonts w:hint="eastAsia"/>
        </w:rPr>
        <w:t>式中：</w:t>
      </w:r>
    </w:p>
    <w:p w14:paraId="6D29181F">
      <w:pPr>
        <w:spacing w:line="300" w:lineRule="auto"/>
        <w:ind w:firstLine="420" w:firstLineChars="200"/>
        <w:rPr>
          <w:rFonts w:ascii="Times New Roman" w:hAnsi="Times New Roman"/>
        </w:rPr>
      </w:pPr>
      <w:r>
        <w:rPr>
          <w:rFonts w:hint="eastAsia" w:ascii="Times New Roman" w:hAnsi="Times New Roman"/>
          <w:iCs/>
        </w:rPr>
        <w:t>Y</w:t>
      </w:r>
      <w:r>
        <w:rPr>
          <w:rFonts w:ascii="Times New Roman" w:hAnsi="Times New Roman"/>
        </w:rPr>
        <w:t>——</w:t>
      </w:r>
      <w:r>
        <w:rPr>
          <w:rFonts w:hint="eastAsia" w:ascii="Times New Roman" w:hAnsi="Times New Roman"/>
        </w:rPr>
        <w:t>地面塌陷易发性指数；</w:t>
      </w:r>
    </w:p>
    <w:p w14:paraId="5C8F5239">
      <w:pPr>
        <w:spacing w:line="300" w:lineRule="auto"/>
        <w:ind w:firstLine="420" w:firstLineChars="200"/>
        <w:rPr>
          <w:rFonts w:ascii="Times New Roman" w:hAnsi="Times New Roman"/>
          <w:i/>
        </w:rPr>
      </w:pPr>
      <w:r>
        <w:rPr>
          <w:rFonts w:ascii="Times New Roman" w:hAnsi="Times New Roman"/>
          <w:iCs/>
        </w:rPr>
        <w:t>θ</w:t>
      </w:r>
      <w:r>
        <w:rPr>
          <w:rFonts w:ascii="Times New Roman" w:hAnsi="Times New Roman"/>
          <w:iCs/>
          <w:vertAlign w:val="subscript"/>
        </w:rPr>
        <w:t xml:space="preserve">i </w:t>
      </w:r>
      <w:r>
        <w:rPr>
          <w:rFonts w:ascii="Times New Roman" w:hAnsi="Times New Roman"/>
        </w:rPr>
        <w:t>——</w:t>
      </w:r>
      <w:r>
        <w:rPr>
          <w:rFonts w:hint="eastAsia" w:ascii="Times New Roman" w:hAnsi="Times New Roman"/>
        </w:rPr>
        <w:t>控制地面塌陷易发程度的</w:t>
      </w:r>
      <w:r>
        <w:rPr>
          <w:rFonts w:ascii="Times New Roman" w:hAnsi="Times New Roman"/>
          <w:i/>
        </w:rPr>
        <w:t>i</w:t>
      </w:r>
      <w:r>
        <w:rPr>
          <w:rFonts w:hint="eastAsia" w:ascii="Times New Roman" w:hAnsi="Times New Roman"/>
        </w:rPr>
        <w:t>类指标分值；</w:t>
      </w:r>
    </w:p>
    <w:p w14:paraId="01524361">
      <w:pPr>
        <w:spacing w:line="300" w:lineRule="auto"/>
        <w:ind w:firstLine="420" w:firstLineChars="200"/>
        <w:rPr>
          <w:rFonts w:ascii="Times New Roman" w:hAnsi="Times New Roman"/>
        </w:rPr>
      </w:pPr>
      <w:r>
        <w:rPr>
          <w:rFonts w:ascii="Times New Roman" w:hAnsi="Times New Roman"/>
          <w:iCs/>
        </w:rPr>
        <w:t>η</w:t>
      </w:r>
      <w:r>
        <w:rPr>
          <w:rFonts w:ascii="Times New Roman" w:hAnsi="Times New Roman"/>
          <w:iCs/>
          <w:vertAlign w:val="subscript"/>
        </w:rPr>
        <w:t xml:space="preserve">i </w:t>
      </w:r>
      <w:r>
        <w:rPr>
          <w:rFonts w:ascii="Times New Roman" w:hAnsi="Times New Roman"/>
        </w:rPr>
        <w:t>——</w:t>
      </w:r>
      <w:r>
        <w:rPr>
          <w:rFonts w:hint="eastAsia" w:ascii="Times New Roman" w:hAnsi="Times New Roman"/>
        </w:rPr>
        <w:t>指标权重，根据地面</w:t>
      </w:r>
      <w:r>
        <w:rPr>
          <w:rFonts w:ascii="Times New Roman" w:hAnsi="Times New Roman"/>
        </w:rPr>
        <w:t>塌陷</w:t>
      </w:r>
      <w:r>
        <w:rPr>
          <w:rFonts w:hint="eastAsia" w:ascii="Times New Roman" w:hAnsi="Times New Roman"/>
        </w:rPr>
        <w:t>发育特征和孕灾条件综合确定</w:t>
      </w:r>
      <w:r>
        <w:rPr>
          <w:rFonts w:ascii="Times New Roman" w:hAnsi="Times New Roman"/>
        </w:rPr>
        <w:t>;</w:t>
      </w:r>
    </w:p>
    <w:p w14:paraId="4BEF9E94">
      <w:pPr>
        <w:spacing w:line="300" w:lineRule="auto"/>
        <w:ind w:firstLine="420" w:firstLineChars="200"/>
        <w:rPr>
          <w:rFonts w:ascii="Times New Roman" w:hAnsi="Times New Roman"/>
          <w:lang w:val="en-GB"/>
        </w:rPr>
      </w:pPr>
      <w:r>
        <w:rPr>
          <w:rFonts w:ascii="Times New Roman" w:hAnsi="Times New Roman"/>
          <w:i/>
        </w:rPr>
        <w:t xml:space="preserve">n </w:t>
      </w:r>
      <w:r>
        <w:rPr>
          <w:rFonts w:ascii="Times New Roman" w:hAnsi="Times New Roman"/>
        </w:rPr>
        <w:t>——</w:t>
      </w:r>
      <w:r>
        <w:rPr>
          <w:rFonts w:hint="eastAsia" w:ascii="Times New Roman" w:hAnsi="Times New Roman"/>
        </w:rPr>
        <w:t>评价指标</w:t>
      </w:r>
      <w:r>
        <w:rPr>
          <w:rFonts w:hint="eastAsia" w:ascii="Times New Roman" w:hAnsi="Times New Roman"/>
          <w:lang w:val="en-GB"/>
        </w:rPr>
        <w:t>项数。</w:t>
      </w:r>
    </w:p>
    <w:p w14:paraId="4CD5F71D">
      <w:pPr>
        <w:pStyle w:val="81"/>
        <w:spacing w:before="156" w:after="156"/>
        <w:rPr>
          <w:lang w:val="en-GB"/>
        </w:rPr>
      </w:pPr>
      <w:bookmarkStart w:id="340" w:name="_Toc176194179"/>
      <w:bookmarkStart w:id="341" w:name="_Toc178172383"/>
      <w:r>
        <w:rPr>
          <w:rFonts w:hint="eastAsia"/>
        </w:rPr>
        <w:t>地裂缝易发程度评价</w:t>
      </w:r>
      <w:bookmarkEnd w:id="340"/>
      <w:bookmarkEnd w:id="341"/>
    </w:p>
    <w:p w14:paraId="5CE0B2DC">
      <w:pPr>
        <w:pStyle w:val="79"/>
        <w:spacing w:before="156" w:after="156"/>
      </w:pPr>
      <w:r>
        <w:rPr>
          <w:rFonts w:ascii="Times New Roman"/>
          <w:szCs w:val="21"/>
        </w:rPr>
        <w:t>构造地裂缝易发性评价因子权重及强度指数取值表</w:t>
      </w:r>
    </w:p>
    <w:tbl>
      <w:tblPr>
        <w:tblStyle w:val="28"/>
        <w:tblW w:w="4998"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913"/>
        <w:gridCol w:w="744"/>
        <w:gridCol w:w="1785"/>
        <w:gridCol w:w="1787"/>
        <w:gridCol w:w="1754"/>
        <w:gridCol w:w="1582"/>
      </w:tblGrid>
      <w:tr w14:paraId="7AB8760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000" w:type="pct"/>
            <w:vMerge w:val="restart"/>
            <w:tcMar>
              <w:top w:w="85" w:type="dxa"/>
              <w:bottom w:w="85" w:type="dxa"/>
            </w:tcMar>
            <w:vAlign w:val="center"/>
          </w:tcPr>
          <w:p w14:paraId="79C26B9B">
            <w:pPr>
              <w:widowControl/>
              <w:adjustRightInd/>
              <w:spacing w:line="240" w:lineRule="auto"/>
              <w:jc w:val="center"/>
              <w:rPr>
                <w:rFonts w:ascii="宋体" w:hAnsi="宋体" w:cs="宋体"/>
                <w:sz w:val="18"/>
                <w:szCs w:val="18"/>
              </w:rPr>
            </w:pPr>
            <w:r>
              <w:rPr>
                <w:rFonts w:hint="eastAsia" w:ascii="宋体" w:hAnsi="宋体" w:cs="宋体"/>
                <w:sz w:val="18"/>
                <w:szCs w:val="18"/>
              </w:rPr>
              <w:t>评价因子</w:t>
            </w:r>
          </w:p>
        </w:tc>
        <w:tc>
          <w:tcPr>
            <w:tcW w:w="389" w:type="pct"/>
            <w:vMerge w:val="restart"/>
            <w:tcMar>
              <w:top w:w="85" w:type="dxa"/>
              <w:bottom w:w="85" w:type="dxa"/>
            </w:tcMar>
            <w:vAlign w:val="center"/>
          </w:tcPr>
          <w:p w14:paraId="32A722CE">
            <w:pPr>
              <w:widowControl/>
              <w:adjustRightInd/>
              <w:spacing w:line="240" w:lineRule="auto"/>
              <w:jc w:val="center"/>
              <w:rPr>
                <w:rFonts w:ascii="宋体" w:hAnsi="宋体" w:cs="宋体"/>
                <w:sz w:val="18"/>
                <w:szCs w:val="18"/>
              </w:rPr>
            </w:pPr>
            <w:r>
              <w:rPr>
                <w:rFonts w:hint="eastAsia" w:ascii="宋体" w:hAnsi="宋体" w:cs="宋体"/>
                <w:sz w:val="18"/>
                <w:szCs w:val="18"/>
              </w:rPr>
              <w:t>权重</w:t>
            </w:r>
          </w:p>
        </w:tc>
        <w:tc>
          <w:tcPr>
            <w:tcW w:w="3611" w:type="pct"/>
            <w:gridSpan w:val="4"/>
            <w:tcMar>
              <w:top w:w="85" w:type="dxa"/>
              <w:bottom w:w="85" w:type="dxa"/>
            </w:tcMar>
            <w:vAlign w:val="center"/>
          </w:tcPr>
          <w:p w14:paraId="50EEF84D">
            <w:pPr>
              <w:widowControl/>
              <w:adjustRightInd/>
              <w:spacing w:line="240" w:lineRule="auto"/>
              <w:jc w:val="center"/>
              <w:rPr>
                <w:rFonts w:ascii="宋体" w:hAnsi="宋体" w:cs="宋体"/>
                <w:sz w:val="18"/>
                <w:szCs w:val="18"/>
              </w:rPr>
            </w:pPr>
            <w:r>
              <w:rPr>
                <w:rFonts w:hint="eastAsia" w:ascii="宋体" w:hAnsi="宋体" w:cs="宋体"/>
                <w:sz w:val="18"/>
                <w:szCs w:val="18"/>
              </w:rPr>
              <w:t>评价因子分级及强度指数（Xi）取值</w:t>
            </w:r>
          </w:p>
        </w:tc>
      </w:tr>
      <w:tr w14:paraId="45F6C5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00" w:type="pct"/>
            <w:vMerge w:val="continue"/>
            <w:tcMar>
              <w:top w:w="85" w:type="dxa"/>
              <w:bottom w:w="85" w:type="dxa"/>
            </w:tcMar>
            <w:vAlign w:val="center"/>
          </w:tcPr>
          <w:p w14:paraId="11955632">
            <w:pPr>
              <w:widowControl/>
              <w:adjustRightInd/>
              <w:spacing w:line="240" w:lineRule="auto"/>
              <w:jc w:val="center"/>
              <w:rPr>
                <w:rFonts w:ascii="宋体" w:hAnsi="宋体" w:cs="宋体"/>
                <w:sz w:val="18"/>
                <w:szCs w:val="18"/>
              </w:rPr>
            </w:pPr>
          </w:p>
        </w:tc>
        <w:tc>
          <w:tcPr>
            <w:tcW w:w="389" w:type="pct"/>
            <w:vMerge w:val="continue"/>
            <w:tcMar>
              <w:top w:w="85" w:type="dxa"/>
              <w:bottom w:w="85" w:type="dxa"/>
            </w:tcMar>
            <w:vAlign w:val="center"/>
          </w:tcPr>
          <w:p w14:paraId="291879AF">
            <w:pPr>
              <w:widowControl/>
              <w:adjustRightInd/>
              <w:spacing w:line="240" w:lineRule="auto"/>
              <w:jc w:val="center"/>
              <w:rPr>
                <w:rFonts w:ascii="宋体" w:hAnsi="宋体" w:cs="宋体"/>
                <w:sz w:val="18"/>
                <w:szCs w:val="18"/>
              </w:rPr>
            </w:pPr>
          </w:p>
        </w:tc>
        <w:tc>
          <w:tcPr>
            <w:tcW w:w="933" w:type="pct"/>
            <w:tcMar>
              <w:top w:w="85" w:type="dxa"/>
              <w:bottom w:w="85" w:type="dxa"/>
            </w:tcMar>
            <w:vAlign w:val="center"/>
          </w:tcPr>
          <w:p w14:paraId="2B00E6EC">
            <w:pPr>
              <w:widowControl/>
              <w:adjustRightInd/>
              <w:spacing w:line="240" w:lineRule="auto"/>
              <w:jc w:val="center"/>
              <w:rPr>
                <w:rFonts w:ascii="宋体" w:hAnsi="宋体" w:cs="宋体"/>
                <w:sz w:val="18"/>
                <w:szCs w:val="18"/>
              </w:rPr>
            </w:pPr>
            <w:r>
              <w:rPr>
                <w:rFonts w:hint="eastAsia" w:ascii="宋体" w:hAnsi="宋体" w:cs="宋体"/>
                <w:sz w:val="18"/>
                <w:szCs w:val="18"/>
              </w:rPr>
              <w:t>4</w:t>
            </w:r>
          </w:p>
        </w:tc>
        <w:tc>
          <w:tcPr>
            <w:tcW w:w="934" w:type="pct"/>
            <w:tcMar>
              <w:top w:w="85" w:type="dxa"/>
              <w:bottom w:w="85" w:type="dxa"/>
            </w:tcMar>
            <w:vAlign w:val="center"/>
          </w:tcPr>
          <w:p w14:paraId="5CA7B5FD">
            <w:pPr>
              <w:widowControl/>
              <w:adjustRightInd/>
              <w:spacing w:line="240" w:lineRule="auto"/>
              <w:jc w:val="center"/>
              <w:rPr>
                <w:rFonts w:ascii="宋体" w:hAnsi="宋体" w:cs="宋体"/>
                <w:sz w:val="18"/>
                <w:szCs w:val="18"/>
              </w:rPr>
            </w:pPr>
            <w:r>
              <w:rPr>
                <w:rFonts w:hint="eastAsia" w:ascii="宋体" w:hAnsi="宋体" w:cs="宋体"/>
                <w:sz w:val="18"/>
                <w:szCs w:val="18"/>
              </w:rPr>
              <w:t>3</w:t>
            </w:r>
          </w:p>
        </w:tc>
        <w:tc>
          <w:tcPr>
            <w:tcW w:w="917" w:type="pct"/>
            <w:tcMar>
              <w:top w:w="85" w:type="dxa"/>
              <w:bottom w:w="85" w:type="dxa"/>
            </w:tcMar>
            <w:vAlign w:val="center"/>
          </w:tcPr>
          <w:p w14:paraId="28FD84FA">
            <w:pPr>
              <w:widowControl/>
              <w:adjustRightInd/>
              <w:spacing w:line="240" w:lineRule="auto"/>
              <w:jc w:val="center"/>
              <w:rPr>
                <w:rFonts w:ascii="宋体" w:hAnsi="宋体" w:cs="宋体"/>
                <w:sz w:val="18"/>
                <w:szCs w:val="18"/>
              </w:rPr>
            </w:pPr>
            <w:r>
              <w:rPr>
                <w:rFonts w:hint="eastAsia" w:ascii="宋体" w:hAnsi="宋体" w:cs="宋体"/>
                <w:sz w:val="18"/>
                <w:szCs w:val="18"/>
              </w:rPr>
              <w:t>2</w:t>
            </w:r>
          </w:p>
        </w:tc>
        <w:tc>
          <w:tcPr>
            <w:tcW w:w="827" w:type="pct"/>
            <w:tcMar>
              <w:top w:w="85" w:type="dxa"/>
              <w:bottom w:w="85" w:type="dxa"/>
            </w:tcMar>
            <w:vAlign w:val="center"/>
          </w:tcPr>
          <w:p w14:paraId="20E32B09">
            <w:pPr>
              <w:widowControl/>
              <w:adjustRightInd/>
              <w:spacing w:line="240" w:lineRule="auto"/>
              <w:jc w:val="center"/>
              <w:rPr>
                <w:rFonts w:ascii="宋体" w:hAnsi="宋体" w:cs="宋体"/>
                <w:sz w:val="18"/>
                <w:szCs w:val="18"/>
              </w:rPr>
            </w:pPr>
            <w:r>
              <w:rPr>
                <w:rFonts w:hint="eastAsia" w:ascii="宋体" w:hAnsi="宋体" w:cs="宋体"/>
                <w:sz w:val="18"/>
                <w:szCs w:val="18"/>
              </w:rPr>
              <w:t>1</w:t>
            </w:r>
          </w:p>
        </w:tc>
      </w:tr>
      <w:tr w14:paraId="288D8C0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9" w:hRule="atLeast"/>
          <w:jc w:val="center"/>
        </w:trPr>
        <w:tc>
          <w:tcPr>
            <w:tcW w:w="1000" w:type="pct"/>
            <w:tcMar>
              <w:top w:w="85" w:type="dxa"/>
              <w:bottom w:w="85" w:type="dxa"/>
            </w:tcMar>
            <w:vAlign w:val="center"/>
          </w:tcPr>
          <w:p w14:paraId="26FBC3F6">
            <w:pPr>
              <w:widowControl/>
              <w:adjustRightInd/>
              <w:spacing w:line="240" w:lineRule="auto"/>
              <w:jc w:val="center"/>
              <w:rPr>
                <w:rFonts w:ascii="宋体" w:hAnsi="宋体" w:cs="宋体"/>
                <w:sz w:val="18"/>
                <w:szCs w:val="18"/>
              </w:rPr>
            </w:pPr>
            <w:r>
              <w:rPr>
                <w:rFonts w:hint="eastAsia" w:ascii="宋体" w:hAnsi="宋体" w:cs="宋体"/>
                <w:sz w:val="18"/>
                <w:szCs w:val="18"/>
              </w:rPr>
              <w:t>地形地貌</w:t>
            </w:r>
          </w:p>
        </w:tc>
        <w:tc>
          <w:tcPr>
            <w:tcW w:w="389" w:type="pct"/>
            <w:tcMar>
              <w:top w:w="85" w:type="dxa"/>
              <w:bottom w:w="85" w:type="dxa"/>
            </w:tcMar>
            <w:vAlign w:val="center"/>
          </w:tcPr>
          <w:p w14:paraId="2399758F">
            <w:pPr>
              <w:widowControl/>
              <w:adjustRightInd/>
              <w:spacing w:line="240" w:lineRule="auto"/>
              <w:jc w:val="center"/>
              <w:rPr>
                <w:rFonts w:ascii="宋体" w:hAnsi="宋体" w:cs="宋体"/>
                <w:sz w:val="18"/>
                <w:szCs w:val="18"/>
              </w:rPr>
            </w:pPr>
            <w:r>
              <w:rPr>
                <w:rFonts w:hint="eastAsia" w:ascii="宋体" w:hAnsi="宋体" w:cs="宋体"/>
                <w:sz w:val="18"/>
                <w:szCs w:val="18"/>
              </w:rPr>
              <w:t>0.20</w:t>
            </w:r>
          </w:p>
        </w:tc>
        <w:tc>
          <w:tcPr>
            <w:tcW w:w="933" w:type="pct"/>
            <w:tcMar>
              <w:top w:w="85" w:type="dxa"/>
              <w:bottom w:w="85" w:type="dxa"/>
            </w:tcMar>
            <w:vAlign w:val="center"/>
          </w:tcPr>
          <w:p w14:paraId="513FA379">
            <w:pPr>
              <w:widowControl/>
              <w:adjustRightInd/>
              <w:spacing w:line="240" w:lineRule="auto"/>
              <w:jc w:val="center"/>
              <w:rPr>
                <w:rFonts w:ascii="宋体" w:hAnsi="宋体" w:cs="宋体"/>
                <w:sz w:val="18"/>
                <w:szCs w:val="18"/>
              </w:rPr>
            </w:pPr>
            <w:r>
              <w:rPr>
                <w:rFonts w:hint="eastAsia" w:ascii="宋体" w:hAnsi="宋体" w:cs="宋体"/>
                <w:sz w:val="18"/>
                <w:szCs w:val="18"/>
              </w:rPr>
              <w:t>地形起伏较大的不同地貌单元交接带</w:t>
            </w:r>
          </w:p>
        </w:tc>
        <w:tc>
          <w:tcPr>
            <w:tcW w:w="934" w:type="pct"/>
            <w:tcMar>
              <w:top w:w="85" w:type="dxa"/>
              <w:bottom w:w="85" w:type="dxa"/>
            </w:tcMar>
            <w:vAlign w:val="center"/>
          </w:tcPr>
          <w:p w14:paraId="116F3F76">
            <w:pPr>
              <w:widowControl/>
              <w:adjustRightInd/>
              <w:spacing w:line="240" w:lineRule="auto"/>
              <w:jc w:val="center"/>
              <w:rPr>
                <w:rFonts w:ascii="宋体" w:hAnsi="宋体" w:cs="宋体"/>
                <w:sz w:val="18"/>
                <w:szCs w:val="18"/>
              </w:rPr>
            </w:pPr>
            <w:r>
              <w:rPr>
                <w:rFonts w:hint="eastAsia" w:ascii="宋体" w:hAnsi="宋体" w:cs="宋体"/>
                <w:sz w:val="18"/>
                <w:szCs w:val="18"/>
              </w:rPr>
              <w:t>地形起伏不大的不同地貌单元交接带</w:t>
            </w:r>
          </w:p>
        </w:tc>
        <w:tc>
          <w:tcPr>
            <w:tcW w:w="917" w:type="pct"/>
            <w:tcMar>
              <w:top w:w="85" w:type="dxa"/>
              <w:bottom w:w="85" w:type="dxa"/>
            </w:tcMar>
            <w:vAlign w:val="center"/>
          </w:tcPr>
          <w:p w14:paraId="73E257EC">
            <w:pPr>
              <w:widowControl/>
              <w:adjustRightInd/>
              <w:spacing w:line="240" w:lineRule="auto"/>
              <w:jc w:val="center"/>
              <w:rPr>
                <w:rFonts w:ascii="宋体" w:hAnsi="宋体" w:cs="宋体"/>
                <w:sz w:val="18"/>
                <w:szCs w:val="18"/>
              </w:rPr>
            </w:pPr>
            <w:r>
              <w:rPr>
                <w:rFonts w:hint="eastAsia" w:ascii="宋体" w:hAnsi="宋体" w:cs="宋体"/>
                <w:sz w:val="18"/>
                <w:szCs w:val="18"/>
              </w:rPr>
              <w:t>地形起伏较大的同一地貌单元</w:t>
            </w:r>
          </w:p>
        </w:tc>
        <w:tc>
          <w:tcPr>
            <w:tcW w:w="827" w:type="pct"/>
            <w:tcMar>
              <w:top w:w="85" w:type="dxa"/>
              <w:bottom w:w="85" w:type="dxa"/>
            </w:tcMar>
            <w:vAlign w:val="center"/>
          </w:tcPr>
          <w:p w14:paraId="4D53F291">
            <w:pPr>
              <w:widowControl/>
              <w:adjustRightInd/>
              <w:spacing w:line="240" w:lineRule="auto"/>
              <w:jc w:val="center"/>
              <w:rPr>
                <w:rFonts w:ascii="宋体" w:hAnsi="宋体" w:cs="宋体"/>
                <w:sz w:val="18"/>
                <w:szCs w:val="18"/>
              </w:rPr>
            </w:pPr>
            <w:r>
              <w:rPr>
                <w:rFonts w:hint="eastAsia" w:ascii="宋体" w:hAnsi="宋体" w:cs="宋体"/>
                <w:sz w:val="18"/>
                <w:szCs w:val="18"/>
              </w:rPr>
              <w:t>地形平坦的同一地貌单元</w:t>
            </w:r>
          </w:p>
        </w:tc>
      </w:tr>
      <w:tr w14:paraId="72E24A4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000" w:type="pct"/>
            <w:tcMar>
              <w:top w:w="85" w:type="dxa"/>
              <w:bottom w:w="85" w:type="dxa"/>
            </w:tcMar>
            <w:vAlign w:val="center"/>
          </w:tcPr>
          <w:p w14:paraId="5940C858">
            <w:pPr>
              <w:widowControl/>
              <w:adjustRightInd/>
              <w:spacing w:line="240" w:lineRule="auto"/>
              <w:jc w:val="center"/>
              <w:rPr>
                <w:rFonts w:ascii="宋体" w:hAnsi="宋体" w:cs="宋体"/>
                <w:sz w:val="18"/>
                <w:szCs w:val="18"/>
              </w:rPr>
            </w:pPr>
            <w:r>
              <w:rPr>
                <w:rFonts w:hint="eastAsia" w:ascii="宋体" w:hAnsi="宋体" w:cs="宋体"/>
                <w:sz w:val="18"/>
                <w:szCs w:val="18"/>
              </w:rPr>
              <w:t>活动断裂</w:t>
            </w:r>
          </w:p>
        </w:tc>
        <w:tc>
          <w:tcPr>
            <w:tcW w:w="389" w:type="pct"/>
            <w:tcMar>
              <w:top w:w="85" w:type="dxa"/>
              <w:bottom w:w="85" w:type="dxa"/>
            </w:tcMar>
            <w:vAlign w:val="center"/>
          </w:tcPr>
          <w:p w14:paraId="2552CAD6">
            <w:pPr>
              <w:widowControl/>
              <w:adjustRightInd/>
              <w:spacing w:line="240" w:lineRule="auto"/>
              <w:jc w:val="center"/>
              <w:rPr>
                <w:rFonts w:ascii="宋体" w:hAnsi="宋体" w:cs="宋体"/>
                <w:sz w:val="18"/>
                <w:szCs w:val="18"/>
              </w:rPr>
            </w:pPr>
            <w:r>
              <w:rPr>
                <w:rFonts w:hint="eastAsia" w:ascii="宋体" w:hAnsi="宋体" w:cs="宋体"/>
                <w:sz w:val="18"/>
                <w:szCs w:val="18"/>
              </w:rPr>
              <w:t>0..30</w:t>
            </w:r>
          </w:p>
        </w:tc>
        <w:tc>
          <w:tcPr>
            <w:tcW w:w="933" w:type="pct"/>
            <w:tcMar>
              <w:top w:w="85" w:type="dxa"/>
              <w:bottom w:w="85" w:type="dxa"/>
            </w:tcMar>
            <w:vAlign w:val="center"/>
          </w:tcPr>
          <w:p w14:paraId="743C38AC">
            <w:pPr>
              <w:widowControl/>
              <w:adjustRightInd/>
              <w:spacing w:line="240" w:lineRule="auto"/>
              <w:jc w:val="center"/>
              <w:rPr>
                <w:rFonts w:ascii="宋体" w:hAnsi="宋体" w:cs="宋体"/>
                <w:sz w:val="18"/>
                <w:szCs w:val="18"/>
              </w:rPr>
            </w:pPr>
            <w:r>
              <w:rPr>
                <w:rFonts w:hint="eastAsia" w:ascii="宋体" w:hAnsi="宋体" w:cs="宋体"/>
                <w:sz w:val="18"/>
                <w:szCs w:val="18"/>
              </w:rPr>
              <w:t>全新世活动断裂</w:t>
            </w:r>
          </w:p>
        </w:tc>
        <w:tc>
          <w:tcPr>
            <w:tcW w:w="934" w:type="pct"/>
            <w:tcMar>
              <w:top w:w="85" w:type="dxa"/>
              <w:bottom w:w="85" w:type="dxa"/>
            </w:tcMar>
            <w:vAlign w:val="center"/>
          </w:tcPr>
          <w:p w14:paraId="455722E2">
            <w:pPr>
              <w:widowControl/>
              <w:adjustRightInd/>
              <w:spacing w:line="240" w:lineRule="auto"/>
              <w:jc w:val="center"/>
              <w:rPr>
                <w:rFonts w:ascii="宋体" w:hAnsi="宋体" w:cs="宋体"/>
                <w:sz w:val="18"/>
                <w:szCs w:val="18"/>
              </w:rPr>
            </w:pPr>
            <w:r>
              <w:rPr>
                <w:rFonts w:hint="eastAsia" w:ascii="宋体" w:hAnsi="宋体" w:cs="宋体"/>
                <w:sz w:val="18"/>
                <w:szCs w:val="18"/>
              </w:rPr>
              <w:t>晚更新世活动断裂</w:t>
            </w:r>
          </w:p>
        </w:tc>
        <w:tc>
          <w:tcPr>
            <w:tcW w:w="917" w:type="pct"/>
            <w:tcMar>
              <w:top w:w="85" w:type="dxa"/>
              <w:bottom w:w="85" w:type="dxa"/>
            </w:tcMar>
            <w:vAlign w:val="center"/>
          </w:tcPr>
          <w:p w14:paraId="3AE21071">
            <w:pPr>
              <w:widowControl/>
              <w:adjustRightInd/>
              <w:spacing w:line="240" w:lineRule="auto"/>
              <w:jc w:val="center"/>
              <w:rPr>
                <w:rFonts w:ascii="宋体" w:hAnsi="宋体" w:cs="宋体"/>
                <w:sz w:val="18"/>
                <w:szCs w:val="18"/>
              </w:rPr>
            </w:pPr>
            <w:r>
              <w:rPr>
                <w:rFonts w:hint="eastAsia" w:ascii="宋体" w:hAnsi="宋体" w:cs="宋体"/>
                <w:sz w:val="18"/>
                <w:szCs w:val="18"/>
              </w:rPr>
              <w:t>中更新世活动断裂</w:t>
            </w:r>
          </w:p>
        </w:tc>
        <w:tc>
          <w:tcPr>
            <w:tcW w:w="827" w:type="pct"/>
            <w:tcMar>
              <w:top w:w="85" w:type="dxa"/>
              <w:bottom w:w="85" w:type="dxa"/>
            </w:tcMar>
            <w:vAlign w:val="center"/>
          </w:tcPr>
          <w:p w14:paraId="0D9D9ED0">
            <w:pPr>
              <w:widowControl/>
              <w:adjustRightInd/>
              <w:spacing w:line="240" w:lineRule="auto"/>
              <w:jc w:val="center"/>
              <w:rPr>
                <w:rFonts w:ascii="宋体" w:hAnsi="宋体" w:cs="宋体"/>
                <w:sz w:val="18"/>
                <w:szCs w:val="18"/>
              </w:rPr>
            </w:pPr>
            <w:r>
              <w:rPr>
                <w:rFonts w:hint="eastAsia" w:ascii="宋体" w:hAnsi="宋体" w:cs="宋体"/>
                <w:sz w:val="18"/>
                <w:szCs w:val="18"/>
              </w:rPr>
              <w:t>中更新世以前断裂及无断裂区</w:t>
            </w:r>
          </w:p>
        </w:tc>
      </w:tr>
      <w:tr w14:paraId="49045D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000" w:type="pct"/>
            <w:tcMar>
              <w:top w:w="85" w:type="dxa"/>
              <w:bottom w:w="85" w:type="dxa"/>
            </w:tcMar>
            <w:vAlign w:val="center"/>
          </w:tcPr>
          <w:p w14:paraId="6E489940">
            <w:pPr>
              <w:widowControl/>
              <w:adjustRightInd/>
              <w:spacing w:line="240" w:lineRule="auto"/>
              <w:jc w:val="center"/>
              <w:rPr>
                <w:rFonts w:ascii="宋体" w:hAnsi="宋体" w:cs="宋体"/>
                <w:sz w:val="18"/>
                <w:szCs w:val="18"/>
              </w:rPr>
            </w:pPr>
            <w:r>
              <w:rPr>
                <w:rFonts w:hint="eastAsia" w:ascii="宋体" w:hAnsi="宋体" w:cs="宋体"/>
                <w:sz w:val="18"/>
                <w:szCs w:val="18"/>
              </w:rPr>
              <w:t>地下水位高差hw/m</w:t>
            </w:r>
          </w:p>
        </w:tc>
        <w:tc>
          <w:tcPr>
            <w:tcW w:w="389" w:type="pct"/>
            <w:tcMar>
              <w:top w:w="85" w:type="dxa"/>
              <w:bottom w:w="85" w:type="dxa"/>
            </w:tcMar>
            <w:vAlign w:val="center"/>
          </w:tcPr>
          <w:p w14:paraId="722C1812">
            <w:pPr>
              <w:widowControl/>
              <w:adjustRightInd/>
              <w:spacing w:line="240" w:lineRule="auto"/>
              <w:jc w:val="center"/>
              <w:rPr>
                <w:rFonts w:ascii="宋体" w:hAnsi="宋体" w:cs="宋体"/>
                <w:sz w:val="18"/>
                <w:szCs w:val="18"/>
              </w:rPr>
            </w:pPr>
            <w:r>
              <w:rPr>
                <w:rFonts w:hint="eastAsia" w:ascii="宋体" w:hAnsi="宋体" w:cs="宋体"/>
                <w:sz w:val="18"/>
                <w:szCs w:val="18"/>
              </w:rPr>
              <w:t>0.20</w:t>
            </w:r>
          </w:p>
        </w:tc>
        <w:tc>
          <w:tcPr>
            <w:tcW w:w="933" w:type="pct"/>
            <w:tcMar>
              <w:top w:w="85" w:type="dxa"/>
              <w:bottom w:w="85" w:type="dxa"/>
            </w:tcMar>
            <w:vAlign w:val="center"/>
          </w:tcPr>
          <w:p w14:paraId="20A45311">
            <w:pPr>
              <w:widowControl/>
              <w:adjustRightInd/>
              <w:spacing w:line="240" w:lineRule="auto"/>
              <w:jc w:val="center"/>
              <w:rPr>
                <w:rFonts w:ascii="宋体" w:hAnsi="宋体" w:cs="宋体"/>
                <w:sz w:val="18"/>
                <w:szCs w:val="18"/>
              </w:rPr>
            </w:pPr>
            <w:r>
              <w:rPr>
                <w:rFonts w:hint="eastAsia" w:ascii="宋体" w:hAnsi="宋体" w:cs="宋体"/>
                <w:sz w:val="18"/>
                <w:szCs w:val="18"/>
              </w:rPr>
              <w:t>hw≥5</w:t>
            </w:r>
          </w:p>
        </w:tc>
        <w:tc>
          <w:tcPr>
            <w:tcW w:w="934" w:type="pct"/>
            <w:tcMar>
              <w:top w:w="85" w:type="dxa"/>
              <w:bottom w:w="85" w:type="dxa"/>
            </w:tcMar>
            <w:vAlign w:val="center"/>
          </w:tcPr>
          <w:p w14:paraId="5B1375A3">
            <w:pPr>
              <w:widowControl/>
              <w:adjustRightInd/>
              <w:spacing w:line="240" w:lineRule="auto"/>
              <w:jc w:val="center"/>
              <w:rPr>
                <w:rFonts w:ascii="宋体" w:hAnsi="宋体" w:cs="宋体"/>
                <w:sz w:val="18"/>
                <w:szCs w:val="18"/>
              </w:rPr>
            </w:pPr>
            <w:r>
              <w:rPr>
                <w:rFonts w:hint="eastAsia" w:ascii="宋体" w:hAnsi="宋体" w:cs="宋体"/>
                <w:sz w:val="18"/>
                <w:szCs w:val="18"/>
              </w:rPr>
              <w:t>2≤hw＜5</w:t>
            </w:r>
          </w:p>
        </w:tc>
        <w:tc>
          <w:tcPr>
            <w:tcW w:w="917" w:type="pct"/>
            <w:tcMar>
              <w:top w:w="85" w:type="dxa"/>
              <w:bottom w:w="85" w:type="dxa"/>
            </w:tcMar>
            <w:vAlign w:val="center"/>
          </w:tcPr>
          <w:p w14:paraId="1494CC7A">
            <w:pPr>
              <w:widowControl/>
              <w:adjustRightInd/>
              <w:spacing w:line="240" w:lineRule="auto"/>
              <w:jc w:val="center"/>
              <w:rPr>
                <w:rFonts w:ascii="宋体" w:hAnsi="宋体" w:cs="宋体"/>
                <w:sz w:val="18"/>
                <w:szCs w:val="18"/>
              </w:rPr>
            </w:pPr>
            <w:r>
              <w:rPr>
                <w:rFonts w:hint="eastAsia" w:ascii="宋体" w:hAnsi="宋体" w:cs="宋体"/>
                <w:sz w:val="18"/>
                <w:szCs w:val="18"/>
              </w:rPr>
              <w:t>0.5≤hw＜2</w:t>
            </w:r>
          </w:p>
        </w:tc>
        <w:tc>
          <w:tcPr>
            <w:tcW w:w="827" w:type="pct"/>
            <w:tcMar>
              <w:top w:w="85" w:type="dxa"/>
              <w:bottom w:w="85" w:type="dxa"/>
            </w:tcMar>
            <w:vAlign w:val="center"/>
          </w:tcPr>
          <w:p w14:paraId="2B752B21">
            <w:pPr>
              <w:widowControl/>
              <w:adjustRightInd/>
              <w:spacing w:line="240" w:lineRule="auto"/>
              <w:jc w:val="center"/>
              <w:rPr>
                <w:rFonts w:ascii="宋体" w:hAnsi="宋体" w:cs="宋体"/>
                <w:sz w:val="18"/>
                <w:szCs w:val="18"/>
              </w:rPr>
            </w:pPr>
            <w:r>
              <w:rPr>
                <w:rFonts w:hint="eastAsia" w:ascii="宋体" w:hAnsi="宋体" w:cs="宋体"/>
                <w:sz w:val="18"/>
                <w:szCs w:val="18"/>
              </w:rPr>
              <w:t>hw＜0.5</w:t>
            </w:r>
          </w:p>
        </w:tc>
      </w:tr>
      <w:tr w14:paraId="164E739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1000" w:type="pct"/>
            <w:tcMar>
              <w:top w:w="85" w:type="dxa"/>
              <w:bottom w:w="85" w:type="dxa"/>
            </w:tcMar>
            <w:vAlign w:val="center"/>
          </w:tcPr>
          <w:p w14:paraId="47808FD6">
            <w:pPr>
              <w:widowControl/>
              <w:adjustRightInd/>
              <w:spacing w:line="240" w:lineRule="auto"/>
              <w:jc w:val="center"/>
              <w:rPr>
                <w:rFonts w:ascii="宋体" w:hAnsi="宋体" w:cs="宋体"/>
                <w:sz w:val="18"/>
                <w:szCs w:val="18"/>
              </w:rPr>
            </w:pPr>
            <w:r>
              <w:rPr>
                <w:rFonts w:hint="eastAsia" w:ascii="宋体" w:hAnsi="宋体" w:cs="宋体"/>
                <w:sz w:val="18"/>
                <w:szCs w:val="18"/>
              </w:rPr>
              <w:t>地面沉降易发程度</w:t>
            </w:r>
          </w:p>
        </w:tc>
        <w:tc>
          <w:tcPr>
            <w:tcW w:w="389" w:type="pct"/>
            <w:tcMar>
              <w:top w:w="85" w:type="dxa"/>
              <w:bottom w:w="85" w:type="dxa"/>
            </w:tcMar>
            <w:vAlign w:val="center"/>
          </w:tcPr>
          <w:p w14:paraId="2A1AE6E6">
            <w:pPr>
              <w:widowControl/>
              <w:adjustRightInd/>
              <w:spacing w:line="240" w:lineRule="auto"/>
              <w:jc w:val="center"/>
              <w:rPr>
                <w:rFonts w:ascii="宋体" w:hAnsi="宋体" w:cs="宋体"/>
                <w:sz w:val="18"/>
                <w:szCs w:val="18"/>
              </w:rPr>
            </w:pPr>
            <w:r>
              <w:rPr>
                <w:rFonts w:hint="eastAsia" w:ascii="宋体" w:hAnsi="宋体" w:cs="宋体"/>
                <w:sz w:val="18"/>
                <w:szCs w:val="18"/>
              </w:rPr>
              <w:t>0.30</w:t>
            </w:r>
          </w:p>
        </w:tc>
        <w:tc>
          <w:tcPr>
            <w:tcW w:w="933" w:type="pct"/>
            <w:tcMar>
              <w:top w:w="85" w:type="dxa"/>
              <w:bottom w:w="85" w:type="dxa"/>
            </w:tcMar>
            <w:vAlign w:val="center"/>
          </w:tcPr>
          <w:p w14:paraId="6518DD72">
            <w:pPr>
              <w:widowControl/>
              <w:adjustRightInd/>
              <w:spacing w:line="240" w:lineRule="auto"/>
              <w:jc w:val="center"/>
              <w:rPr>
                <w:rFonts w:ascii="宋体" w:hAnsi="宋体" w:cs="宋体"/>
                <w:sz w:val="18"/>
                <w:szCs w:val="18"/>
              </w:rPr>
            </w:pPr>
            <w:r>
              <w:rPr>
                <w:rFonts w:hint="eastAsia" w:ascii="宋体" w:hAnsi="宋体" w:cs="宋体"/>
                <w:sz w:val="18"/>
                <w:szCs w:val="18"/>
              </w:rPr>
              <w:t>高易发</w:t>
            </w:r>
          </w:p>
        </w:tc>
        <w:tc>
          <w:tcPr>
            <w:tcW w:w="934" w:type="pct"/>
            <w:tcMar>
              <w:top w:w="85" w:type="dxa"/>
              <w:bottom w:w="85" w:type="dxa"/>
            </w:tcMar>
            <w:vAlign w:val="center"/>
          </w:tcPr>
          <w:p w14:paraId="05F43ABB">
            <w:pPr>
              <w:widowControl/>
              <w:adjustRightInd/>
              <w:spacing w:line="240" w:lineRule="auto"/>
              <w:jc w:val="center"/>
              <w:rPr>
                <w:rFonts w:ascii="宋体" w:hAnsi="宋体" w:cs="宋体"/>
                <w:sz w:val="18"/>
                <w:szCs w:val="18"/>
              </w:rPr>
            </w:pPr>
            <w:r>
              <w:rPr>
                <w:rFonts w:hint="eastAsia" w:ascii="宋体" w:hAnsi="宋体" w:cs="宋体"/>
                <w:sz w:val="18"/>
                <w:szCs w:val="18"/>
              </w:rPr>
              <w:t>中易发</w:t>
            </w:r>
          </w:p>
        </w:tc>
        <w:tc>
          <w:tcPr>
            <w:tcW w:w="917" w:type="pct"/>
            <w:tcMar>
              <w:top w:w="85" w:type="dxa"/>
              <w:bottom w:w="85" w:type="dxa"/>
            </w:tcMar>
            <w:vAlign w:val="center"/>
          </w:tcPr>
          <w:p w14:paraId="057DC305">
            <w:pPr>
              <w:widowControl/>
              <w:adjustRightInd/>
              <w:spacing w:line="240" w:lineRule="auto"/>
              <w:jc w:val="center"/>
              <w:rPr>
                <w:rFonts w:ascii="宋体" w:hAnsi="宋体" w:cs="宋体"/>
                <w:sz w:val="18"/>
                <w:szCs w:val="18"/>
              </w:rPr>
            </w:pPr>
            <w:r>
              <w:rPr>
                <w:rFonts w:hint="eastAsia" w:ascii="宋体" w:hAnsi="宋体" w:cs="宋体"/>
                <w:sz w:val="18"/>
                <w:szCs w:val="18"/>
              </w:rPr>
              <w:t>低易发</w:t>
            </w:r>
          </w:p>
        </w:tc>
        <w:tc>
          <w:tcPr>
            <w:tcW w:w="827" w:type="pct"/>
            <w:tcMar>
              <w:top w:w="85" w:type="dxa"/>
              <w:bottom w:w="85" w:type="dxa"/>
            </w:tcMar>
            <w:vAlign w:val="center"/>
          </w:tcPr>
          <w:p w14:paraId="44AF5B4D">
            <w:pPr>
              <w:widowControl/>
              <w:adjustRightInd/>
              <w:spacing w:line="240" w:lineRule="auto"/>
              <w:jc w:val="center"/>
              <w:rPr>
                <w:rFonts w:ascii="宋体" w:hAnsi="宋体" w:cs="宋体"/>
                <w:sz w:val="18"/>
                <w:szCs w:val="18"/>
              </w:rPr>
            </w:pPr>
            <w:r>
              <w:rPr>
                <w:rFonts w:hint="eastAsia" w:ascii="宋体" w:hAnsi="宋体" w:cs="宋体"/>
                <w:sz w:val="18"/>
                <w:szCs w:val="18"/>
              </w:rPr>
              <w:t>非易发</w:t>
            </w:r>
          </w:p>
        </w:tc>
      </w:tr>
      <w:tr w14:paraId="4C20651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000" w:type="pct"/>
            <w:gridSpan w:val="6"/>
            <w:tcMar>
              <w:top w:w="85" w:type="dxa"/>
              <w:bottom w:w="85" w:type="dxa"/>
            </w:tcMar>
            <w:vAlign w:val="center"/>
          </w:tcPr>
          <w:p w14:paraId="5AB425F1">
            <w:pPr>
              <w:pStyle w:val="181"/>
              <w:rPr>
                <w:rFonts w:hAnsi="宋体" w:cs="宋体"/>
              </w:rPr>
            </w:pPr>
            <w:r>
              <w:rPr>
                <w:rFonts w:hint="eastAsia" w:hAnsi="宋体" w:cs="宋体"/>
              </w:rPr>
              <w:t>地面沉降易发程度分级按照DZ/T 0283-2015执行。</w:t>
            </w:r>
          </w:p>
        </w:tc>
      </w:tr>
    </w:tbl>
    <w:p w14:paraId="7F9E12E8">
      <w:pPr>
        <w:pStyle w:val="79"/>
        <w:spacing w:before="156" w:after="156"/>
      </w:pPr>
      <w:r>
        <w:rPr>
          <w:rFonts w:hint="eastAsia"/>
        </w:rPr>
        <w:t>非构造地裂缝易发性评价因子权重及强度指数取值表</w:t>
      </w:r>
    </w:p>
    <w:tbl>
      <w:tblPr>
        <w:tblStyle w:val="28"/>
        <w:tblW w:w="4998"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2837"/>
        <w:gridCol w:w="989"/>
        <w:gridCol w:w="1550"/>
        <w:gridCol w:w="1472"/>
        <w:gridCol w:w="1384"/>
        <w:gridCol w:w="1278"/>
      </w:tblGrid>
      <w:tr w14:paraId="39F9F45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jc w:val="center"/>
        </w:trPr>
        <w:tc>
          <w:tcPr>
            <w:tcW w:w="1491" w:type="pct"/>
            <w:vMerge w:val="restart"/>
            <w:tcMar>
              <w:top w:w="85" w:type="dxa"/>
              <w:bottom w:w="85" w:type="dxa"/>
            </w:tcMar>
            <w:vAlign w:val="center"/>
          </w:tcPr>
          <w:p w14:paraId="0C48FF78">
            <w:pPr>
              <w:widowControl/>
              <w:spacing w:line="240" w:lineRule="auto"/>
              <w:jc w:val="center"/>
              <w:rPr>
                <w:rFonts w:ascii="宋体" w:hAnsi="宋体" w:cs="宋体"/>
                <w:sz w:val="18"/>
                <w:szCs w:val="18"/>
              </w:rPr>
            </w:pPr>
            <w:r>
              <w:rPr>
                <w:rFonts w:hint="eastAsia" w:ascii="宋体" w:hAnsi="宋体" w:cs="宋体"/>
                <w:sz w:val="18"/>
                <w:szCs w:val="18"/>
              </w:rPr>
              <w:t>评价因子</w:t>
            </w:r>
          </w:p>
        </w:tc>
        <w:tc>
          <w:tcPr>
            <w:tcW w:w="520" w:type="pct"/>
            <w:vMerge w:val="restart"/>
            <w:tcMar>
              <w:top w:w="85" w:type="dxa"/>
              <w:bottom w:w="85" w:type="dxa"/>
            </w:tcMar>
            <w:vAlign w:val="center"/>
          </w:tcPr>
          <w:p w14:paraId="677D57FD">
            <w:pPr>
              <w:widowControl/>
              <w:spacing w:line="240" w:lineRule="auto"/>
              <w:jc w:val="center"/>
              <w:rPr>
                <w:rFonts w:ascii="宋体" w:hAnsi="宋体" w:cs="宋体"/>
                <w:sz w:val="18"/>
                <w:szCs w:val="18"/>
              </w:rPr>
            </w:pPr>
            <w:r>
              <w:rPr>
                <w:rFonts w:hint="eastAsia" w:ascii="宋体" w:hAnsi="宋体" w:cs="宋体"/>
                <w:sz w:val="18"/>
                <w:szCs w:val="18"/>
              </w:rPr>
              <w:t>权重</w:t>
            </w:r>
          </w:p>
        </w:tc>
        <w:tc>
          <w:tcPr>
            <w:tcW w:w="2989" w:type="pct"/>
            <w:gridSpan w:val="4"/>
            <w:tcMar>
              <w:top w:w="85" w:type="dxa"/>
              <w:bottom w:w="85" w:type="dxa"/>
            </w:tcMar>
            <w:vAlign w:val="center"/>
          </w:tcPr>
          <w:p w14:paraId="4EA563FE">
            <w:pPr>
              <w:widowControl/>
              <w:spacing w:line="240" w:lineRule="auto"/>
              <w:jc w:val="center"/>
              <w:rPr>
                <w:rFonts w:ascii="宋体" w:hAnsi="宋体" w:cs="宋体"/>
                <w:sz w:val="18"/>
                <w:szCs w:val="18"/>
              </w:rPr>
            </w:pPr>
            <w:r>
              <w:rPr>
                <w:rFonts w:hint="eastAsia" w:ascii="宋体" w:hAnsi="宋体" w:cs="宋体"/>
                <w:sz w:val="18"/>
                <w:szCs w:val="18"/>
              </w:rPr>
              <w:t>评价因子分级及强度指数（Xi）取值</w:t>
            </w:r>
          </w:p>
        </w:tc>
      </w:tr>
      <w:tr w14:paraId="4624310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2" w:hRule="atLeast"/>
          <w:jc w:val="center"/>
        </w:trPr>
        <w:tc>
          <w:tcPr>
            <w:tcW w:w="1491" w:type="pct"/>
            <w:vMerge w:val="continue"/>
            <w:tcMar>
              <w:top w:w="85" w:type="dxa"/>
              <w:bottom w:w="85" w:type="dxa"/>
            </w:tcMar>
            <w:vAlign w:val="center"/>
          </w:tcPr>
          <w:p w14:paraId="4520A5F8">
            <w:pPr>
              <w:widowControl/>
              <w:spacing w:line="240" w:lineRule="auto"/>
              <w:jc w:val="center"/>
              <w:rPr>
                <w:rFonts w:ascii="宋体" w:hAnsi="宋体" w:cs="宋体"/>
                <w:sz w:val="18"/>
                <w:szCs w:val="18"/>
              </w:rPr>
            </w:pPr>
          </w:p>
        </w:tc>
        <w:tc>
          <w:tcPr>
            <w:tcW w:w="520" w:type="pct"/>
            <w:vMerge w:val="continue"/>
            <w:tcMar>
              <w:top w:w="85" w:type="dxa"/>
              <w:bottom w:w="85" w:type="dxa"/>
            </w:tcMar>
            <w:vAlign w:val="center"/>
          </w:tcPr>
          <w:p w14:paraId="108C038C">
            <w:pPr>
              <w:widowControl/>
              <w:spacing w:line="240" w:lineRule="auto"/>
              <w:jc w:val="center"/>
              <w:rPr>
                <w:rFonts w:ascii="宋体" w:hAnsi="宋体" w:cs="宋体"/>
                <w:sz w:val="18"/>
                <w:szCs w:val="18"/>
              </w:rPr>
            </w:pPr>
          </w:p>
        </w:tc>
        <w:tc>
          <w:tcPr>
            <w:tcW w:w="815" w:type="pct"/>
            <w:tcMar>
              <w:top w:w="85" w:type="dxa"/>
              <w:bottom w:w="85" w:type="dxa"/>
            </w:tcMar>
            <w:vAlign w:val="center"/>
          </w:tcPr>
          <w:p w14:paraId="6670CD47">
            <w:pPr>
              <w:widowControl/>
              <w:spacing w:line="240" w:lineRule="auto"/>
              <w:jc w:val="center"/>
              <w:rPr>
                <w:rFonts w:ascii="宋体" w:hAnsi="宋体" w:cs="宋体"/>
                <w:sz w:val="18"/>
                <w:szCs w:val="18"/>
              </w:rPr>
            </w:pPr>
            <w:r>
              <w:rPr>
                <w:rFonts w:hint="eastAsia" w:ascii="宋体" w:hAnsi="宋体" w:cs="宋体"/>
                <w:sz w:val="18"/>
                <w:szCs w:val="18"/>
              </w:rPr>
              <w:t>4</w:t>
            </w:r>
          </w:p>
        </w:tc>
        <w:tc>
          <w:tcPr>
            <w:tcW w:w="774" w:type="pct"/>
            <w:tcMar>
              <w:top w:w="85" w:type="dxa"/>
              <w:bottom w:w="85" w:type="dxa"/>
            </w:tcMar>
            <w:vAlign w:val="center"/>
          </w:tcPr>
          <w:p w14:paraId="107FF835">
            <w:pPr>
              <w:widowControl/>
              <w:spacing w:line="240" w:lineRule="auto"/>
              <w:jc w:val="center"/>
              <w:rPr>
                <w:rFonts w:ascii="宋体" w:hAnsi="宋体" w:cs="宋体"/>
                <w:sz w:val="18"/>
                <w:szCs w:val="18"/>
              </w:rPr>
            </w:pPr>
            <w:r>
              <w:rPr>
                <w:rFonts w:hint="eastAsia" w:ascii="宋体" w:hAnsi="宋体" w:cs="宋体"/>
                <w:sz w:val="18"/>
                <w:szCs w:val="18"/>
              </w:rPr>
              <w:t>3</w:t>
            </w:r>
          </w:p>
        </w:tc>
        <w:tc>
          <w:tcPr>
            <w:tcW w:w="728" w:type="pct"/>
            <w:tcMar>
              <w:top w:w="85" w:type="dxa"/>
              <w:bottom w:w="85" w:type="dxa"/>
            </w:tcMar>
            <w:vAlign w:val="center"/>
          </w:tcPr>
          <w:p w14:paraId="1861D3CF">
            <w:pPr>
              <w:widowControl/>
              <w:spacing w:line="240" w:lineRule="auto"/>
              <w:jc w:val="center"/>
              <w:rPr>
                <w:rFonts w:ascii="宋体" w:hAnsi="宋体" w:cs="宋体"/>
                <w:sz w:val="18"/>
                <w:szCs w:val="18"/>
              </w:rPr>
            </w:pPr>
            <w:r>
              <w:rPr>
                <w:rFonts w:hint="eastAsia" w:ascii="宋体" w:hAnsi="宋体" w:cs="宋体"/>
                <w:sz w:val="18"/>
                <w:szCs w:val="18"/>
              </w:rPr>
              <w:t>2</w:t>
            </w:r>
          </w:p>
        </w:tc>
        <w:tc>
          <w:tcPr>
            <w:tcW w:w="672" w:type="pct"/>
            <w:tcMar>
              <w:top w:w="85" w:type="dxa"/>
              <w:bottom w:w="85" w:type="dxa"/>
            </w:tcMar>
            <w:vAlign w:val="center"/>
          </w:tcPr>
          <w:p w14:paraId="7C077BC5">
            <w:pPr>
              <w:widowControl/>
              <w:spacing w:line="240" w:lineRule="auto"/>
              <w:jc w:val="center"/>
              <w:rPr>
                <w:rFonts w:ascii="宋体" w:hAnsi="宋体" w:cs="宋体"/>
                <w:sz w:val="18"/>
                <w:szCs w:val="18"/>
              </w:rPr>
            </w:pPr>
            <w:r>
              <w:rPr>
                <w:rFonts w:hint="eastAsia" w:ascii="宋体" w:hAnsi="宋体" w:cs="宋体"/>
                <w:sz w:val="18"/>
                <w:szCs w:val="18"/>
              </w:rPr>
              <w:t>1</w:t>
            </w:r>
          </w:p>
        </w:tc>
      </w:tr>
      <w:tr w14:paraId="0C28BED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15" w:hRule="atLeast"/>
          <w:jc w:val="center"/>
        </w:trPr>
        <w:tc>
          <w:tcPr>
            <w:tcW w:w="1491" w:type="pct"/>
            <w:tcMar>
              <w:top w:w="85" w:type="dxa"/>
              <w:bottom w:w="85" w:type="dxa"/>
            </w:tcMar>
            <w:vAlign w:val="center"/>
          </w:tcPr>
          <w:p w14:paraId="757981C7">
            <w:pPr>
              <w:widowControl/>
              <w:spacing w:line="240" w:lineRule="auto"/>
              <w:jc w:val="center"/>
              <w:rPr>
                <w:rFonts w:ascii="宋体" w:hAnsi="宋体" w:cs="宋体"/>
                <w:sz w:val="18"/>
                <w:szCs w:val="18"/>
              </w:rPr>
            </w:pPr>
            <w:r>
              <w:rPr>
                <w:rFonts w:hint="eastAsia" w:ascii="宋体" w:hAnsi="宋体" w:cs="宋体"/>
                <w:sz w:val="18"/>
                <w:szCs w:val="18"/>
              </w:rPr>
              <w:t>人工活动影响深度范围内黏性土层厚度差异hs/m</w:t>
            </w:r>
          </w:p>
        </w:tc>
        <w:tc>
          <w:tcPr>
            <w:tcW w:w="520" w:type="pct"/>
            <w:tcMar>
              <w:top w:w="85" w:type="dxa"/>
              <w:bottom w:w="85" w:type="dxa"/>
            </w:tcMar>
            <w:vAlign w:val="center"/>
          </w:tcPr>
          <w:p w14:paraId="51749DE3">
            <w:pPr>
              <w:widowControl/>
              <w:spacing w:line="240" w:lineRule="auto"/>
              <w:jc w:val="center"/>
              <w:rPr>
                <w:rFonts w:ascii="宋体" w:hAnsi="宋体" w:cs="宋体"/>
                <w:sz w:val="18"/>
                <w:szCs w:val="18"/>
              </w:rPr>
            </w:pPr>
            <w:r>
              <w:rPr>
                <w:rFonts w:hint="eastAsia" w:ascii="宋体" w:hAnsi="宋体" w:cs="宋体"/>
                <w:sz w:val="18"/>
                <w:szCs w:val="18"/>
              </w:rPr>
              <w:t>0.30</w:t>
            </w:r>
          </w:p>
        </w:tc>
        <w:tc>
          <w:tcPr>
            <w:tcW w:w="815" w:type="pct"/>
            <w:tcMar>
              <w:top w:w="85" w:type="dxa"/>
              <w:bottom w:w="85" w:type="dxa"/>
            </w:tcMar>
            <w:vAlign w:val="center"/>
          </w:tcPr>
          <w:p w14:paraId="01D9EB34">
            <w:pPr>
              <w:widowControl/>
              <w:spacing w:line="240" w:lineRule="auto"/>
              <w:jc w:val="center"/>
              <w:rPr>
                <w:rFonts w:ascii="宋体" w:hAnsi="宋体" w:cs="宋体"/>
                <w:sz w:val="18"/>
                <w:szCs w:val="18"/>
              </w:rPr>
            </w:pPr>
            <w:r>
              <w:rPr>
                <w:rFonts w:hint="eastAsia" w:ascii="宋体" w:hAnsi="宋体" w:cs="宋体"/>
                <w:sz w:val="18"/>
                <w:szCs w:val="18"/>
              </w:rPr>
              <w:t>hs≥30</w:t>
            </w:r>
          </w:p>
        </w:tc>
        <w:tc>
          <w:tcPr>
            <w:tcW w:w="774" w:type="pct"/>
            <w:tcMar>
              <w:top w:w="85" w:type="dxa"/>
              <w:bottom w:w="85" w:type="dxa"/>
            </w:tcMar>
            <w:vAlign w:val="center"/>
          </w:tcPr>
          <w:p w14:paraId="2020E649">
            <w:pPr>
              <w:widowControl/>
              <w:spacing w:line="240" w:lineRule="auto"/>
              <w:jc w:val="center"/>
              <w:rPr>
                <w:rFonts w:ascii="宋体" w:hAnsi="宋体" w:cs="宋体"/>
                <w:sz w:val="18"/>
                <w:szCs w:val="18"/>
              </w:rPr>
            </w:pPr>
            <w:r>
              <w:rPr>
                <w:rFonts w:hint="eastAsia" w:ascii="宋体" w:hAnsi="宋体" w:cs="宋体"/>
                <w:sz w:val="18"/>
                <w:szCs w:val="18"/>
              </w:rPr>
              <w:t>15≤hs＜30</w:t>
            </w:r>
          </w:p>
        </w:tc>
        <w:tc>
          <w:tcPr>
            <w:tcW w:w="728" w:type="pct"/>
            <w:tcMar>
              <w:top w:w="85" w:type="dxa"/>
              <w:bottom w:w="85" w:type="dxa"/>
            </w:tcMar>
            <w:vAlign w:val="center"/>
          </w:tcPr>
          <w:p w14:paraId="292F416F">
            <w:pPr>
              <w:widowControl/>
              <w:spacing w:line="240" w:lineRule="auto"/>
              <w:jc w:val="center"/>
              <w:rPr>
                <w:rFonts w:ascii="宋体" w:hAnsi="宋体" w:cs="宋体"/>
                <w:sz w:val="18"/>
                <w:szCs w:val="18"/>
              </w:rPr>
            </w:pPr>
            <w:r>
              <w:rPr>
                <w:rFonts w:hint="eastAsia" w:ascii="宋体" w:hAnsi="宋体" w:cs="宋体"/>
                <w:sz w:val="18"/>
                <w:szCs w:val="18"/>
              </w:rPr>
              <w:t>5≤hs＜15</w:t>
            </w:r>
          </w:p>
        </w:tc>
        <w:tc>
          <w:tcPr>
            <w:tcW w:w="672" w:type="pct"/>
            <w:tcMar>
              <w:top w:w="85" w:type="dxa"/>
              <w:bottom w:w="85" w:type="dxa"/>
            </w:tcMar>
            <w:vAlign w:val="center"/>
          </w:tcPr>
          <w:p w14:paraId="14EE11AC">
            <w:pPr>
              <w:widowControl/>
              <w:spacing w:line="240" w:lineRule="auto"/>
              <w:jc w:val="center"/>
              <w:rPr>
                <w:rFonts w:ascii="宋体" w:hAnsi="宋体" w:cs="宋体"/>
                <w:sz w:val="18"/>
                <w:szCs w:val="18"/>
              </w:rPr>
            </w:pPr>
            <w:r>
              <w:rPr>
                <w:rFonts w:hint="eastAsia" w:ascii="宋体" w:hAnsi="宋体" w:cs="宋体"/>
                <w:sz w:val="18"/>
                <w:szCs w:val="18"/>
              </w:rPr>
              <w:t>hs＜5</w:t>
            </w:r>
          </w:p>
        </w:tc>
      </w:tr>
      <w:tr w14:paraId="4E54440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0" w:hRule="atLeast"/>
          <w:jc w:val="center"/>
        </w:trPr>
        <w:tc>
          <w:tcPr>
            <w:tcW w:w="1491" w:type="pct"/>
            <w:tcMar>
              <w:top w:w="85" w:type="dxa"/>
              <w:bottom w:w="85" w:type="dxa"/>
            </w:tcMar>
            <w:vAlign w:val="center"/>
          </w:tcPr>
          <w:p w14:paraId="122EF3CA">
            <w:pPr>
              <w:widowControl/>
              <w:spacing w:line="240" w:lineRule="auto"/>
              <w:jc w:val="center"/>
              <w:rPr>
                <w:rFonts w:ascii="宋体" w:hAnsi="宋体" w:cs="宋体"/>
                <w:sz w:val="18"/>
                <w:szCs w:val="18"/>
              </w:rPr>
            </w:pPr>
            <w:r>
              <w:rPr>
                <w:rFonts w:hint="eastAsia" w:ascii="宋体" w:hAnsi="宋体" w:cs="宋体"/>
                <w:sz w:val="18"/>
                <w:szCs w:val="18"/>
              </w:rPr>
              <w:t>潜山顶面埋深（或埋藏阶地顶面埋深，或地下水位埋深）hr/m</w:t>
            </w:r>
          </w:p>
        </w:tc>
        <w:tc>
          <w:tcPr>
            <w:tcW w:w="520" w:type="pct"/>
            <w:tcMar>
              <w:top w:w="85" w:type="dxa"/>
              <w:bottom w:w="85" w:type="dxa"/>
            </w:tcMar>
            <w:vAlign w:val="center"/>
          </w:tcPr>
          <w:p w14:paraId="2E4B3525">
            <w:pPr>
              <w:widowControl/>
              <w:spacing w:line="240" w:lineRule="auto"/>
              <w:jc w:val="center"/>
              <w:rPr>
                <w:rFonts w:ascii="宋体" w:hAnsi="宋体" w:cs="宋体"/>
                <w:sz w:val="18"/>
                <w:szCs w:val="18"/>
              </w:rPr>
            </w:pPr>
            <w:r>
              <w:rPr>
                <w:rFonts w:hint="eastAsia" w:ascii="宋体" w:hAnsi="宋体" w:cs="宋体"/>
                <w:sz w:val="18"/>
                <w:szCs w:val="18"/>
              </w:rPr>
              <w:t>0.20</w:t>
            </w:r>
          </w:p>
        </w:tc>
        <w:tc>
          <w:tcPr>
            <w:tcW w:w="815" w:type="pct"/>
            <w:tcMar>
              <w:top w:w="85" w:type="dxa"/>
              <w:bottom w:w="85" w:type="dxa"/>
            </w:tcMar>
            <w:vAlign w:val="center"/>
          </w:tcPr>
          <w:p w14:paraId="16429F17">
            <w:pPr>
              <w:widowControl/>
              <w:spacing w:line="240" w:lineRule="auto"/>
              <w:jc w:val="center"/>
              <w:rPr>
                <w:rFonts w:ascii="宋体" w:hAnsi="宋体" w:cs="宋体"/>
                <w:sz w:val="18"/>
                <w:szCs w:val="18"/>
              </w:rPr>
            </w:pPr>
            <w:r>
              <w:rPr>
                <w:rFonts w:hint="eastAsia" w:ascii="宋体" w:hAnsi="宋体" w:cs="宋体"/>
                <w:sz w:val="18"/>
                <w:szCs w:val="18"/>
              </w:rPr>
              <w:t>hr＜120</w:t>
            </w:r>
          </w:p>
        </w:tc>
        <w:tc>
          <w:tcPr>
            <w:tcW w:w="774" w:type="pct"/>
            <w:tcMar>
              <w:top w:w="85" w:type="dxa"/>
              <w:bottom w:w="85" w:type="dxa"/>
            </w:tcMar>
            <w:vAlign w:val="center"/>
          </w:tcPr>
          <w:p w14:paraId="14DDF63F">
            <w:pPr>
              <w:widowControl/>
              <w:spacing w:line="240" w:lineRule="auto"/>
              <w:jc w:val="center"/>
              <w:rPr>
                <w:rFonts w:ascii="宋体" w:hAnsi="宋体" w:cs="宋体"/>
                <w:sz w:val="18"/>
                <w:szCs w:val="18"/>
              </w:rPr>
            </w:pPr>
            <w:r>
              <w:rPr>
                <w:rFonts w:hint="eastAsia" w:ascii="宋体" w:hAnsi="宋体" w:cs="宋体"/>
                <w:sz w:val="18"/>
                <w:szCs w:val="18"/>
              </w:rPr>
              <w:t>120≤hr＜160</w:t>
            </w:r>
          </w:p>
        </w:tc>
        <w:tc>
          <w:tcPr>
            <w:tcW w:w="728" w:type="pct"/>
            <w:tcMar>
              <w:top w:w="85" w:type="dxa"/>
              <w:bottom w:w="85" w:type="dxa"/>
            </w:tcMar>
            <w:vAlign w:val="center"/>
          </w:tcPr>
          <w:p w14:paraId="223C8DE7">
            <w:pPr>
              <w:widowControl/>
              <w:spacing w:line="240" w:lineRule="auto"/>
              <w:jc w:val="center"/>
              <w:rPr>
                <w:rFonts w:ascii="宋体" w:hAnsi="宋体" w:cs="宋体"/>
                <w:sz w:val="18"/>
                <w:szCs w:val="18"/>
              </w:rPr>
            </w:pPr>
            <w:r>
              <w:rPr>
                <w:rFonts w:hint="eastAsia" w:ascii="宋体" w:hAnsi="宋体" w:cs="宋体"/>
                <w:sz w:val="18"/>
                <w:szCs w:val="18"/>
              </w:rPr>
              <w:t>160≤hr＜200</w:t>
            </w:r>
          </w:p>
        </w:tc>
        <w:tc>
          <w:tcPr>
            <w:tcW w:w="672" w:type="pct"/>
            <w:tcMar>
              <w:top w:w="85" w:type="dxa"/>
              <w:bottom w:w="85" w:type="dxa"/>
            </w:tcMar>
            <w:vAlign w:val="center"/>
          </w:tcPr>
          <w:p w14:paraId="081CA78B">
            <w:pPr>
              <w:widowControl/>
              <w:spacing w:line="240" w:lineRule="auto"/>
              <w:jc w:val="center"/>
              <w:rPr>
                <w:rFonts w:ascii="宋体" w:hAnsi="宋体" w:cs="宋体"/>
                <w:sz w:val="18"/>
                <w:szCs w:val="18"/>
              </w:rPr>
            </w:pPr>
            <w:r>
              <w:rPr>
                <w:rFonts w:hint="eastAsia" w:ascii="宋体" w:hAnsi="宋体" w:cs="宋体"/>
                <w:sz w:val="18"/>
                <w:szCs w:val="18"/>
              </w:rPr>
              <w:t>hr≥200</w:t>
            </w:r>
          </w:p>
        </w:tc>
      </w:tr>
      <w:tr w14:paraId="7A0935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0" w:hRule="atLeast"/>
          <w:jc w:val="center"/>
        </w:trPr>
        <w:tc>
          <w:tcPr>
            <w:tcW w:w="1491" w:type="pct"/>
            <w:tcMar>
              <w:top w:w="85" w:type="dxa"/>
              <w:bottom w:w="85" w:type="dxa"/>
            </w:tcMar>
            <w:vAlign w:val="center"/>
          </w:tcPr>
          <w:p w14:paraId="11C3AEA5">
            <w:pPr>
              <w:widowControl/>
              <w:spacing w:line="240" w:lineRule="auto"/>
              <w:jc w:val="center"/>
              <w:rPr>
                <w:rFonts w:ascii="宋体" w:hAnsi="宋体" w:cs="宋体"/>
                <w:sz w:val="18"/>
                <w:szCs w:val="18"/>
              </w:rPr>
            </w:pPr>
            <w:r>
              <w:rPr>
                <w:rFonts w:hint="eastAsia" w:ascii="宋体" w:hAnsi="宋体" w:cs="宋体"/>
                <w:sz w:val="18"/>
                <w:szCs w:val="18"/>
              </w:rPr>
              <w:t>地下水位高差（或水位低于潜山（或埋藏阶地）顶面）hw/m</w:t>
            </w:r>
          </w:p>
        </w:tc>
        <w:tc>
          <w:tcPr>
            <w:tcW w:w="520" w:type="pct"/>
            <w:tcMar>
              <w:top w:w="85" w:type="dxa"/>
              <w:bottom w:w="85" w:type="dxa"/>
            </w:tcMar>
            <w:vAlign w:val="center"/>
          </w:tcPr>
          <w:p w14:paraId="1B0FB674">
            <w:pPr>
              <w:widowControl/>
              <w:spacing w:line="240" w:lineRule="auto"/>
              <w:jc w:val="center"/>
              <w:rPr>
                <w:rFonts w:ascii="宋体" w:hAnsi="宋体" w:cs="宋体"/>
                <w:sz w:val="18"/>
                <w:szCs w:val="18"/>
              </w:rPr>
            </w:pPr>
            <w:r>
              <w:rPr>
                <w:rFonts w:hint="eastAsia" w:ascii="宋体" w:hAnsi="宋体" w:cs="宋体"/>
                <w:sz w:val="18"/>
                <w:szCs w:val="18"/>
              </w:rPr>
              <w:t>0.20</w:t>
            </w:r>
          </w:p>
        </w:tc>
        <w:tc>
          <w:tcPr>
            <w:tcW w:w="815" w:type="pct"/>
            <w:tcMar>
              <w:top w:w="85" w:type="dxa"/>
              <w:bottom w:w="85" w:type="dxa"/>
            </w:tcMar>
            <w:vAlign w:val="center"/>
          </w:tcPr>
          <w:p w14:paraId="44D730B2">
            <w:pPr>
              <w:widowControl/>
              <w:spacing w:line="240" w:lineRule="auto"/>
              <w:jc w:val="center"/>
              <w:rPr>
                <w:rFonts w:ascii="宋体" w:hAnsi="宋体" w:cs="宋体"/>
                <w:sz w:val="18"/>
                <w:szCs w:val="18"/>
              </w:rPr>
            </w:pPr>
            <w:r>
              <w:rPr>
                <w:rFonts w:hint="eastAsia" w:ascii="宋体" w:hAnsi="宋体" w:cs="宋体"/>
                <w:sz w:val="18"/>
                <w:szCs w:val="18"/>
              </w:rPr>
              <w:t>hw≥5</w:t>
            </w:r>
          </w:p>
        </w:tc>
        <w:tc>
          <w:tcPr>
            <w:tcW w:w="774" w:type="pct"/>
            <w:tcMar>
              <w:top w:w="85" w:type="dxa"/>
              <w:bottom w:w="85" w:type="dxa"/>
            </w:tcMar>
            <w:vAlign w:val="center"/>
          </w:tcPr>
          <w:p w14:paraId="0E73EB1E">
            <w:pPr>
              <w:widowControl/>
              <w:spacing w:line="240" w:lineRule="auto"/>
              <w:jc w:val="center"/>
              <w:rPr>
                <w:rFonts w:ascii="宋体" w:hAnsi="宋体" w:cs="宋体"/>
                <w:sz w:val="18"/>
                <w:szCs w:val="18"/>
              </w:rPr>
            </w:pPr>
            <w:r>
              <w:rPr>
                <w:rFonts w:hint="eastAsia" w:ascii="宋体" w:hAnsi="宋体" w:cs="宋体"/>
                <w:sz w:val="18"/>
                <w:szCs w:val="18"/>
              </w:rPr>
              <w:t>2≤hw＜5</w:t>
            </w:r>
          </w:p>
        </w:tc>
        <w:tc>
          <w:tcPr>
            <w:tcW w:w="728" w:type="pct"/>
            <w:tcMar>
              <w:top w:w="85" w:type="dxa"/>
              <w:bottom w:w="85" w:type="dxa"/>
            </w:tcMar>
            <w:vAlign w:val="center"/>
          </w:tcPr>
          <w:p w14:paraId="100F9832">
            <w:pPr>
              <w:widowControl/>
              <w:spacing w:line="240" w:lineRule="auto"/>
              <w:jc w:val="center"/>
              <w:rPr>
                <w:rFonts w:ascii="宋体" w:hAnsi="宋体" w:cs="宋体"/>
                <w:sz w:val="18"/>
                <w:szCs w:val="18"/>
              </w:rPr>
            </w:pPr>
            <w:r>
              <w:rPr>
                <w:rFonts w:hint="eastAsia" w:ascii="宋体" w:hAnsi="宋体" w:cs="宋体"/>
                <w:sz w:val="18"/>
                <w:szCs w:val="18"/>
              </w:rPr>
              <w:t>0.5≤hw＜2</w:t>
            </w:r>
          </w:p>
        </w:tc>
        <w:tc>
          <w:tcPr>
            <w:tcW w:w="672" w:type="pct"/>
            <w:tcMar>
              <w:top w:w="85" w:type="dxa"/>
              <w:bottom w:w="85" w:type="dxa"/>
            </w:tcMar>
            <w:vAlign w:val="center"/>
          </w:tcPr>
          <w:p w14:paraId="414E75C7">
            <w:pPr>
              <w:widowControl/>
              <w:spacing w:line="240" w:lineRule="auto"/>
              <w:jc w:val="center"/>
              <w:rPr>
                <w:rFonts w:ascii="宋体" w:hAnsi="宋体" w:cs="宋体"/>
                <w:sz w:val="18"/>
                <w:szCs w:val="18"/>
              </w:rPr>
            </w:pPr>
            <w:r>
              <w:rPr>
                <w:rFonts w:hint="eastAsia" w:ascii="宋体" w:hAnsi="宋体" w:cs="宋体"/>
                <w:sz w:val="18"/>
                <w:szCs w:val="18"/>
              </w:rPr>
              <w:t>hw＜0.5</w:t>
            </w:r>
          </w:p>
        </w:tc>
      </w:tr>
      <w:tr w14:paraId="72B142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jc w:val="center"/>
        </w:trPr>
        <w:tc>
          <w:tcPr>
            <w:tcW w:w="1491" w:type="pct"/>
            <w:tcMar>
              <w:top w:w="85" w:type="dxa"/>
              <w:bottom w:w="85" w:type="dxa"/>
            </w:tcMar>
            <w:vAlign w:val="center"/>
          </w:tcPr>
          <w:p w14:paraId="4E4E94ED">
            <w:pPr>
              <w:widowControl/>
              <w:spacing w:line="240" w:lineRule="auto"/>
              <w:jc w:val="center"/>
              <w:rPr>
                <w:rFonts w:ascii="宋体" w:hAnsi="宋体" w:cs="宋体"/>
                <w:sz w:val="18"/>
                <w:szCs w:val="18"/>
              </w:rPr>
            </w:pPr>
            <w:r>
              <w:rPr>
                <w:rFonts w:hint="eastAsia" w:ascii="宋体" w:hAnsi="宋体" w:cs="宋体"/>
                <w:sz w:val="18"/>
                <w:szCs w:val="18"/>
              </w:rPr>
              <w:t>地面沉降易发程度</w:t>
            </w:r>
          </w:p>
        </w:tc>
        <w:tc>
          <w:tcPr>
            <w:tcW w:w="520" w:type="pct"/>
            <w:tcMar>
              <w:top w:w="85" w:type="dxa"/>
              <w:bottom w:w="85" w:type="dxa"/>
            </w:tcMar>
            <w:vAlign w:val="center"/>
          </w:tcPr>
          <w:p w14:paraId="37B42CBA">
            <w:pPr>
              <w:widowControl/>
              <w:spacing w:line="240" w:lineRule="auto"/>
              <w:jc w:val="center"/>
              <w:rPr>
                <w:rFonts w:ascii="宋体" w:hAnsi="宋体" w:cs="宋体"/>
                <w:sz w:val="18"/>
                <w:szCs w:val="18"/>
              </w:rPr>
            </w:pPr>
            <w:r>
              <w:rPr>
                <w:rFonts w:hint="eastAsia" w:ascii="宋体" w:hAnsi="宋体" w:cs="宋体"/>
                <w:sz w:val="18"/>
                <w:szCs w:val="18"/>
              </w:rPr>
              <w:t>0.30</w:t>
            </w:r>
          </w:p>
        </w:tc>
        <w:tc>
          <w:tcPr>
            <w:tcW w:w="815" w:type="pct"/>
            <w:tcMar>
              <w:top w:w="85" w:type="dxa"/>
              <w:bottom w:w="85" w:type="dxa"/>
            </w:tcMar>
            <w:vAlign w:val="center"/>
          </w:tcPr>
          <w:p w14:paraId="1624B33D">
            <w:pPr>
              <w:widowControl/>
              <w:spacing w:line="240" w:lineRule="auto"/>
              <w:jc w:val="center"/>
              <w:rPr>
                <w:rFonts w:ascii="宋体" w:hAnsi="宋体" w:cs="宋体"/>
                <w:sz w:val="18"/>
                <w:szCs w:val="18"/>
              </w:rPr>
            </w:pPr>
            <w:r>
              <w:rPr>
                <w:rFonts w:hint="eastAsia" w:ascii="宋体" w:hAnsi="宋体" w:cs="宋体"/>
                <w:sz w:val="18"/>
                <w:szCs w:val="18"/>
              </w:rPr>
              <w:t>高易发</w:t>
            </w:r>
          </w:p>
        </w:tc>
        <w:tc>
          <w:tcPr>
            <w:tcW w:w="774" w:type="pct"/>
            <w:tcMar>
              <w:top w:w="85" w:type="dxa"/>
              <w:bottom w:w="85" w:type="dxa"/>
            </w:tcMar>
            <w:vAlign w:val="center"/>
          </w:tcPr>
          <w:p w14:paraId="18FCF292">
            <w:pPr>
              <w:widowControl/>
              <w:spacing w:line="240" w:lineRule="auto"/>
              <w:jc w:val="center"/>
              <w:rPr>
                <w:rFonts w:ascii="宋体" w:hAnsi="宋体" w:cs="宋体"/>
                <w:sz w:val="18"/>
                <w:szCs w:val="18"/>
              </w:rPr>
            </w:pPr>
            <w:r>
              <w:rPr>
                <w:rFonts w:hint="eastAsia" w:ascii="宋体" w:hAnsi="宋体" w:cs="宋体"/>
                <w:sz w:val="18"/>
                <w:szCs w:val="18"/>
              </w:rPr>
              <w:t>中易发</w:t>
            </w:r>
          </w:p>
        </w:tc>
        <w:tc>
          <w:tcPr>
            <w:tcW w:w="728" w:type="pct"/>
            <w:tcMar>
              <w:top w:w="85" w:type="dxa"/>
              <w:bottom w:w="85" w:type="dxa"/>
            </w:tcMar>
            <w:vAlign w:val="center"/>
          </w:tcPr>
          <w:p w14:paraId="3AF2827D">
            <w:pPr>
              <w:widowControl/>
              <w:spacing w:line="240" w:lineRule="auto"/>
              <w:jc w:val="center"/>
              <w:rPr>
                <w:rFonts w:ascii="宋体" w:hAnsi="宋体" w:cs="宋体"/>
                <w:sz w:val="18"/>
                <w:szCs w:val="18"/>
              </w:rPr>
            </w:pPr>
            <w:r>
              <w:rPr>
                <w:rFonts w:hint="eastAsia" w:ascii="宋体" w:hAnsi="宋体" w:cs="宋体"/>
                <w:sz w:val="18"/>
                <w:szCs w:val="18"/>
              </w:rPr>
              <w:t>低易发</w:t>
            </w:r>
          </w:p>
        </w:tc>
        <w:tc>
          <w:tcPr>
            <w:tcW w:w="672" w:type="pct"/>
            <w:tcMar>
              <w:top w:w="85" w:type="dxa"/>
              <w:bottom w:w="85" w:type="dxa"/>
            </w:tcMar>
            <w:vAlign w:val="center"/>
          </w:tcPr>
          <w:p w14:paraId="0484B8C6">
            <w:pPr>
              <w:widowControl/>
              <w:spacing w:line="240" w:lineRule="auto"/>
              <w:jc w:val="center"/>
              <w:rPr>
                <w:rFonts w:ascii="宋体" w:hAnsi="宋体" w:cs="宋体"/>
                <w:sz w:val="18"/>
                <w:szCs w:val="18"/>
              </w:rPr>
            </w:pPr>
            <w:r>
              <w:rPr>
                <w:rFonts w:hint="eastAsia" w:ascii="宋体" w:hAnsi="宋体" w:cs="宋体"/>
                <w:sz w:val="18"/>
                <w:szCs w:val="18"/>
              </w:rPr>
              <w:t>非易发</w:t>
            </w:r>
          </w:p>
        </w:tc>
      </w:tr>
      <w:tr w14:paraId="03AABF2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jc w:val="center"/>
        </w:trPr>
        <w:tc>
          <w:tcPr>
            <w:tcW w:w="5000" w:type="pct"/>
            <w:gridSpan w:val="6"/>
            <w:tcMar>
              <w:top w:w="85" w:type="dxa"/>
              <w:bottom w:w="85" w:type="dxa"/>
            </w:tcMar>
            <w:vAlign w:val="center"/>
          </w:tcPr>
          <w:p w14:paraId="15596EEE">
            <w:pPr>
              <w:pStyle w:val="182"/>
              <w:numPr>
                <w:ilvl w:val="0"/>
                <w:numId w:val="59"/>
              </w:numPr>
            </w:pPr>
            <w:r>
              <w:rPr>
                <w:rFonts w:ascii="Times New Roman"/>
              </w:rPr>
              <w:t>地面沉降易发程度分级按照DZ/T 0283-2015执行</w:t>
            </w:r>
            <w:r>
              <w:rPr>
                <w:rFonts w:hint="eastAsia" w:ascii="Times New Roman"/>
              </w:rPr>
              <w:t>;</w:t>
            </w:r>
          </w:p>
          <w:p w14:paraId="23014B19">
            <w:pPr>
              <w:pStyle w:val="182"/>
              <w:numPr>
                <w:ilvl w:val="0"/>
                <w:numId w:val="59"/>
              </w:numPr>
            </w:pPr>
            <w:r>
              <w:rPr>
                <w:rFonts w:ascii="Times New Roman"/>
              </w:rPr>
              <w:t>潜山顶面埋深和埋藏阶地顶面埋深分级参照《苏锡常地裂缝》专著修改。</w:t>
            </w:r>
          </w:p>
        </w:tc>
      </w:tr>
    </w:tbl>
    <w:p w14:paraId="0657A3BF">
      <w:pPr>
        <w:pStyle w:val="79"/>
        <w:spacing w:before="156" w:after="156"/>
      </w:pPr>
      <w:r>
        <w:rPr>
          <w:rFonts w:ascii="Times New Roman"/>
          <w:szCs w:val="21"/>
        </w:rPr>
        <w:t>地裂缝易发性定量评价标准</w:t>
      </w:r>
    </w:p>
    <w:tbl>
      <w:tblPr>
        <w:tblStyle w:val="28"/>
        <w:tblW w:w="4998"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85" w:type="dxa"/>
          <w:left w:w="108" w:type="dxa"/>
          <w:bottom w:w="85" w:type="dxa"/>
          <w:right w:w="108" w:type="dxa"/>
        </w:tblCellMar>
      </w:tblPr>
      <w:tblGrid>
        <w:gridCol w:w="1974"/>
        <w:gridCol w:w="1977"/>
        <w:gridCol w:w="1869"/>
        <w:gridCol w:w="1840"/>
        <w:gridCol w:w="1906"/>
      </w:tblGrid>
      <w:tr w14:paraId="3089167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85" w:type="dxa"/>
            <w:left w:w="108" w:type="dxa"/>
            <w:bottom w:w="85" w:type="dxa"/>
            <w:right w:w="108" w:type="dxa"/>
          </w:tblCellMar>
        </w:tblPrEx>
        <w:trPr>
          <w:jc w:val="center"/>
        </w:trPr>
        <w:tc>
          <w:tcPr>
            <w:tcW w:w="1032" w:type="pct"/>
            <w:vAlign w:val="center"/>
          </w:tcPr>
          <w:p w14:paraId="28AC46B1">
            <w:pPr>
              <w:widowControl/>
              <w:spacing w:line="240" w:lineRule="auto"/>
              <w:jc w:val="center"/>
              <w:rPr>
                <w:rFonts w:ascii="宋体" w:hAnsi="宋体" w:cs="宋体"/>
                <w:sz w:val="18"/>
                <w:szCs w:val="18"/>
              </w:rPr>
            </w:pPr>
            <w:r>
              <w:rPr>
                <w:rFonts w:hint="eastAsia" w:ascii="宋体" w:hAnsi="宋体" w:cs="宋体"/>
                <w:sz w:val="18"/>
                <w:szCs w:val="18"/>
              </w:rPr>
              <w:t>易发等级</w:t>
            </w:r>
          </w:p>
        </w:tc>
        <w:tc>
          <w:tcPr>
            <w:tcW w:w="1033" w:type="pct"/>
            <w:vAlign w:val="center"/>
          </w:tcPr>
          <w:p w14:paraId="7420CCA3">
            <w:pPr>
              <w:widowControl/>
              <w:spacing w:line="240" w:lineRule="auto"/>
              <w:jc w:val="center"/>
              <w:rPr>
                <w:rFonts w:ascii="宋体" w:hAnsi="宋体" w:cs="宋体"/>
                <w:sz w:val="18"/>
                <w:szCs w:val="18"/>
              </w:rPr>
            </w:pPr>
            <w:r>
              <w:rPr>
                <w:rFonts w:hint="eastAsia" w:ascii="宋体" w:hAnsi="宋体" w:cs="宋体"/>
                <w:sz w:val="18"/>
                <w:szCs w:val="18"/>
              </w:rPr>
              <w:t>高易发</w:t>
            </w:r>
          </w:p>
        </w:tc>
        <w:tc>
          <w:tcPr>
            <w:tcW w:w="977" w:type="pct"/>
            <w:vAlign w:val="center"/>
          </w:tcPr>
          <w:p w14:paraId="29578F57">
            <w:pPr>
              <w:widowControl/>
              <w:spacing w:line="240" w:lineRule="auto"/>
              <w:jc w:val="center"/>
              <w:rPr>
                <w:rFonts w:ascii="宋体" w:hAnsi="宋体" w:cs="宋体"/>
                <w:sz w:val="18"/>
                <w:szCs w:val="18"/>
              </w:rPr>
            </w:pPr>
            <w:r>
              <w:rPr>
                <w:rFonts w:hint="eastAsia" w:ascii="宋体" w:hAnsi="宋体" w:cs="宋体"/>
                <w:sz w:val="18"/>
                <w:szCs w:val="18"/>
              </w:rPr>
              <w:t>中易发</w:t>
            </w:r>
          </w:p>
        </w:tc>
        <w:tc>
          <w:tcPr>
            <w:tcW w:w="962" w:type="pct"/>
            <w:vAlign w:val="center"/>
          </w:tcPr>
          <w:p w14:paraId="1F22B57A">
            <w:pPr>
              <w:widowControl/>
              <w:spacing w:line="240" w:lineRule="auto"/>
              <w:jc w:val="center"/>
              <w:rPr>
                <w:rFonts w:ascii="宋体" w:hAnsi="宋体" w:cs="宋体"/>
                <w:sz w:val="18"/>
                <w:szCs w:val="18"/>
              </w:rPr>
            </w:pPr>
            <w:r>
              <w:rPr>
                <w:rFonts w:hint="eastAsia" w:ascii="宋体" w:hAnsi="宋体" w:cs="宋体"/>
                <w:sz w:val="18"/>
                <w:szCs w:val="18"/>
              </w:rPr>
              <w:t>低易发</w:t>
            </w:r>
          </w:p>
        </w:tc>
        <w:tc>
          <w:tcPr>
            <w:tcW w:w="996" w:type="pct"/>
            <w:vAlign w:val="center"/>
          </w:tcPr>
          <w:p w14:paraId="1198DDFE">
            <w:pPr>
              <w:widowControl/>
              <w:spacing w:line="240" w:lineRule="auto"/>
              <w:jc w:val="center"/>
              <w:rPr>
                <w:rFonts w:ascii="宋体" w:hAnsi="宋体" w:cs="宋体"/>
                <w:sz w:val="18"/>
                <w:szCs w:val="18"/>
              </w:rPr>
            </w:pPr>
            <w:r>
              <w:rPr>
                <w:rFonts w:hint="eastAsia" w:ascii="宋体" w:hAnsi="宋体" w:cs="宋体"/>
                <w:sz w:val="18"/>
                <w:szCs w:val="18"/>
              </w:rPr>
              <w:t>非易发</w:t>
            </w:r>
          </w:p>
        </w:tc>
      </w:tr>
      <w:tr w14:paraId="63DADB1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85" w:type="dxa"/>
            <w:left w:w="108" w:type="dxa"/>
            <w:bottom w:w="85" w:type="dxa"/>
            <w:right w:w="108" w:type="dxa"/>
          </w:tblCellMar>
        </w:tblPrEx>
        <w:trPr>
          <w:jc w:val="center"/>
        </w:trPr>
        <w:tc>
          <w:tcPr>
            <w:tcW w:w="1032" w:type="pct"/>
            <w:vAlign w:val="center"/>
          </w:tcPr>
          <w:p w14:paraId="1630A29D">
            <w:pPr>
              <w:widowControl/>
              <w:spacing w:line="240" w:lineRule="auto"/>
              <w:jc w:val="center"/>
              <w:rPr>
                <w:rFonts w:ascii="宋体" w:hAnsi="宋体" w:cs="宋体"/>
                <w:sz w:val="18"/>
                <w:szCs w:val="18"/>
              </w:rPr>
            </w:pPr>
            <w:r>
              <w:rPr>
                <w:rFonts w:hint="eastAsia" w:ascii="宋体" w:hAnsi="宋体" w:cs="宋体"/>
                <w:sz w:val="18"/>
                <w:szCs w:val="18"/>
              </w:rPr>
              <w:t>易发性指数</w:t>
            </w:r>
          </w:p>
        </w:tc>
        <w:tc>
          <w:tcPr>
            <w:tcW w:w="1033" w:type="pct"/>
            <w:vAlign w:val="center"/>
          </w:tcPr>
          <w:p w14:paraId="62DB1569">
            <w:pPr>
              <w:widowControl/>
              <w:spacing w:line="240" w:lineRule="auto"/>
              <w:jc w:val="center"/>
              <w:rPr>
                <w:rFonts w:ascii="宋体" w:hAnsi="宋体" w:cs="宋体"/>
                <w:sz w:val="18"/>
                <w:szCs w:val="18"/>
              </w:rPr>
            </w:pPr>
            <w:r>
              <w:rPr>
                <w:rFonts w:hint="eastAsia" w:ascii="宋体" w:hAnsi="宋体" w:cs="宋体"/>
                <w:position w:val="-4"/>
                <w:sz w:val="18"/>
                <w:szCs w:val="18"/>
              </w:rPr>
              <w:object>
                <v:shape id="_x0000_i1025" o:spt="75" type="#_x0000_t75" style="height:10.2pt;width:12.6pt;" o:ole="t" filled="f" o:preferrelative="t" stroked="f" coordsize="21600,21600">
                  <v:path/>
                  <v:fill on="f" focussize="0,0"/>
                  <v:stroke on="f" joinstyle="miter"/>
                  <v:imagedata r:id="rId34" o:title=""/>
                  <o:lock v:ext="edit" aspectratio="t"/>
                  <w10:wrap type="none"/>
                  <w10:anchorlock/>
                </v:shape>
                <o:OLEObject Type="Embed" ProgID="Equation.3" ShapeID="_x0000_i1025" DrawAspect="Content" ObjectID="_1468075725" r:id="rId33">
                  <o:LockedField>false</o:LockedField>
                </o:OLEObject>
              </w:object>
            </w:r>
            <w:r>
              <w:rPr>
                <w:rFonts w:hint="eastAsia" w:ascii="宋体" w:hAnsi="宋体" w:cs="宋体"/>
                <w:sz w:val="18"/>
                <w:szCs w:val="18"/>
              </w:rPr>
              <w:t>＞3.2</w:t>
            </w:r>
          </w:p>
        </w:tc>
        <w:tc>
          <w:tcPr>
            <w:tcW w:w="977" w:type="pct"/>
            <w:vAlign w:val="center"/>
          </w:tcPr>
          <w:p w14:paraId="09D135B7">
            <w:pPr>
              <w:widowControl/>
              <w:spacing w:line="240" w:lineRule="auto"/>
              <w:jc w:val="center"/>
              <w:rPr>
                <w:rFonts w:ascii="宋体" w:hAnsi="宋体" w:cs="宋体"/>
                <w:sz w:val="18"/>
                <w:szCs w:val="18"/>
              </w:rPr>
            </w:pPr>
            <w:r>
              <w:rPr>
                <w:rFonts w:hint="eastAsia" w:ascii="宋体" w:hAnsi="宋体" w:cs="宋体"/>
                <w:sz w:val="18"/>
                <w:szCs w:val="18"/>
              </w:rPr>
              <w:t>2.2＜</w:t>
            </w:r>
            <w:r>
              <w:rPr>
                <w:rFonts w:hint="eastAsia" w:ascii="宋体" w:hAnsi="宋体" w:cs="宋体"/>
                <w:position w:val="-4"/>
                <w:sz w:val="18"/>
                <w:szCs w:val="18"/>
              </w:rPr>
              <w:object>
                <v:shape id="_x0000_i1026" o:spt="75" type="#_x0000_t75" style="height:10.2pt;width:12.6pt;" o:ole="t" filled="f" o:preferrelative="t" stroked="f" coordsize="21600,21600">
                  <v:path/>
                  <v:fill on="f" focussize="0,0"/>
                  <v:stroke on="f" joinstyle="miter"/>
                  <v:imagedata r:id="rId34" o:title=""/>
                  <o:lock v:ext="edit" aspectratio="t"/>
                  <w10:wrap type="none"/>
                  <w10:anchorlock/>
                </v:shape>
                <o:OLEObject Type="Embed" ProgID="Equation.3" ShapeID="_x0000_i1026" DrawAspect="Content" ObjectID="_1468075726" r:id="rId35">
                  <o:LockedField>false</o:LockedField>
                </o:OLEObject>
              </w:object>
            </w:r>
            <w:r>
              <w:rPr>
                <w:rFonts w:hint="eastAsia" w:ascii="宋体" w:hAnsi="宋体" w:cs="宋体"/>
                <w:sz w:val="18"/>
                <w:szCs w:val="18"/>
              </w:rPr>
              <w:t>≤3.2</w:t>
            </w:r>
          </w:p>
        </w:tc>
        <w:tc>
          <w:tcPr>
            <w:tcW w:w="962" w:type="pct"/>
            <w:vAlign w:val="center"/>
          </w:tcPr>
          <w:p w14:paraId="3A06556B">
            <w:pPr>
              <w:widowControl/>
              <w:spacing w:line="240" w:lineRule="auto"/>
              <w:jc w:val="center"/>
              <w:rPr>
                <w:rFonts w:ascii="宋体" w:hAnsi="宋体" w:cs="宋体"/>
                <w:sz w:val="18"/>
                <w:szCs w:val="18"/>
              </w:rPr>
            </w:pPr>
            <w:r>
              <w:rPr>
                <w:rFonts w:hint="eastAsia" w:ascii="宋体" w:hAnsi="宋体" w:cs="宋体"/>
                <w:sz w:val="18"/>
                <w:szCs w:val="18"/>
              </w:rPr>
              <w:t>1.2＜</w:t>
            </w:r>
            <w:r>
              <w:rPr>
                <w:rFonts w:hint="eastAsia" w:ascii="宋体" w:hAnsi="宋体" w:cs="宋体"/>
                <w:position w:val="-4"/>
                <w:sz w:val="18"/>
                <w:szCs w:val="18"/>
              </w:rPr>
              <w:object>
                <v:shape id="_x0000_i1027" o:spt="75" type="#_x0000_t75" style="height:10.2pt;width:12.6pt;" o:ole="t" filled="f" o:preferrelative="t" stroked="f" coordsize="21600,21600">
                  <v:path/>
                  <v:fill on="f" focussize="0,0"/>
                  <v:stroke on="f" joinstyle="miter"/>
                  <v:imagedata r:id="rId34" o:title=""/>
                  <o:lock v:ext="edit" aspectratio="t"/>
                  <w10:wrap type="none"/>
                  <w10:anchorlock/>
                </v:shape>
                <o:OLEObject Type="Embed" ProgID="Equation.3" ShapeID="_x0000_i1027" DrawAspect="Content" ObjectID="_1468075727" r:id="rId36">
                  <o:LockedField>false</o:LockedField>
                </o:OLEObject>
              </w:object>
            </w:r>
            <w:r>
              <w:rPr>
                <w:rFonts w:hint="eastAsia" w:ascii="宋体" w:hAnsi="宋体" w:cs="宋体"/>
                <w:sz w:val="18"/>
                <w:szCs w:val="18"/>
              </w:rPr>
              <w:t>≤2.2</w:t>
            </w:r>
          </w:p>
        </w:tc>
        <w:tc>
          <w:tcPr>
            <w:tcW w:w="996" w:type="pct"/>
            <w:vAlign w:val="center"/>
          </w:tcPr>
          <w:p w14:paraId="2007BC98">
            <w:pPr>
              <w:widowControl/>
              <w:spacing w:line="240" w:lineRule="auto"/>
              <w:jc w:val="center"/>
              <w:rPr>
                <w:rFonts w:ascii="宋体" w:hAnsi="宋体" w:cs="宋体"/>
                <w:sz w:val="18"/>
                <w:szCs w:val="18"/>
              </w:rPr>
            </w:pPr>
            <w:r>
              <w:rPr>
                <w:rFonts w:hint="eastAsia" w:ascii="宋体" w:hAnsi="宋体" w:cs="宋体"/>
                <w:position w:val="-4"/>
                <w:sz w:val="18"/>
                <w:szCs w:val="18"/>
              </w:rPr>
              <w:object>
                <v:shape id="_x0000_i1028" o:spt="75" type="#_x0000_t75" style="height:10.2pt;width:12.6pt;" o:ole="t" filled="f" o:preferrelative="t" stroked="f" coordsize="21600,21600">
                  <v:path/>
                  <v:fill on="f" focussize="0,0"/>
                  <v:stroke on="f" joinstyle="miter"/>
                  <v:imagedata r:id="rId34" o:title=""/>
                  <o:lock v:ext="edit" aspectratio="t"/>
                  <w10:wrap type="none"/>
                  <w10:anchorlock/>
                </v:shape>
                <o:OLEObject Type="Embed" ProgID="Equation.3" ShapeID="_x0000_i1028" DrawAspect="Content" ObjectID="_1468075728" r:id="rId37">
                  <o:LockedField>false</o:LockedField>
                </o:OLEObject>
              </w:object>
            </w:r>
            <w:r>
              <w:rPr>
                <w:rFonts w:hint="eastAsia" w:ascii="宋体" w:hAnsi="宋体" w:cs="宋体"/>
                <w:sz w:val="18"/>
                <w:szCs w:val="18"/>
              </w:rPr>
              <w:t>＜1.2</w:t>
            </w:r>
          </w:p>
        </w:tc>
      </w:tr>
    </w:tbl>
    <w:p w14:paraId="69BD9DD9">
      <w:pPr>
        <w:pStyle w:val="80"/>
        <w:spacing w:before="156" w:after="156"/>
      </w:pPr>
      <w:bookmarkStart w:id="342" w:name="_Toc168092301"/>
      <w:bookmarkStart w:id="343" w:name="_Toc168321625"/>
      <w:bookmarkStart w:id="344" w:name="_Toc176194180"/>
      <w:bookmarkStart w:id="345" w:name="_Toc178172384"/>
      <w:r>
        <w:rPr>
          <w:rFonts w:hint="eastAsia"/>
        </w:rPr>
        <w:t>危险性评价</w:t>
      </w:r>
      <w:bookmarkEnd w:id="342"/>
      <w:bookmarkEnd w:id="343"/>
      <w:bookmarkEnd w:id="344"/>
      <w:bookmarkEnd w:id="345"/>
    </w:p>
    <w:p w14:paraId="3D244ABB">
      <w:pPr>
        <w:pStyle w:val="81"/>
        <w:spacing w:before="156" w:after="156"/>
      </w:pPr>
      <w:bookmarkStart w:id="346" w:name="_Toc176194181"/>
      <w:bookmarkStart w:id="347" w:name="_Toc178172385"/>
      <w:r>
        <w:rPr>
          <w:rFonts w:hint="eastAsia"/>
        </w:rPr>
        <w:t>滑坡、崩塌、泥石流地质灾害</w:t>
      </w:r>
      <w:bookmarkEnd w:id="346"/>
      <w:bookmarkEnd w:id="347"/>
    </w:p>
    <w:p w14:paraId="7022BFC3">
      <w:pPr>
        <w:pStyle w:val="58"/>
        <w:ind w:firstLine="420"/>
      </w:pPr>
      <w:r>
        <w:rPr>
          <w:rFonts w:hint="eastAsia"/>
        </w:rPr>
        <w:t>滑坡、崩塌、泥石流地质灾害危险性指数H可采用以下两种方法计算：</w:t>
      </w:r>
    </w:p>
    <w:p w14:paraId="6E24A07E">
      <w:pPr>
        <w:pStyle w:val="58"/>
        <w:ind w:firstLine="420"/>
      </w:pPr>
      <w:r>
        <w:rPr>
          <w:rFonts w:hint="eastAsia"/>
        </w:rPr>
        <w:t>方法一：基于极值降雨假设的Pi确定方法，计算公式如下：</w:t>
      </w:r>
    </w:p>
    <w:p w14:paraId="3FA3F816">
      <w:pPr>
        <w:pStyle w:val="115"/>
      </w:pPr>
      <w:r>
        <w:rPr>
          <w:rFonts w:hint="eastAsia"/>
        </w:rPr>
        <w:tab/>
      </w:r>
      <m:oMath>
        <m:r>
          <m:rPr/>
          <w:rPr>
            <w:rFonts w:ascii="Cambria Math" w:hAnsi="Cambria Math"/>
            <w:sz w:val="20"/>
            <w:szCs w:val="20"/>
            <w:lang w:bidi="ar"/>
          </w:rPr>
          <m:t>H</m:t>
        </m:r>
        <m:r>
          <m:rPr/>
          <w:rPr>
            <w:rFonts w:hint="eastAsia" w:ascii="Cambria Math" w:hAnsi="Cambria Math"/>
            <w:sz w:val="20"/>
            <w:szCs w:val="20"/>
            <w:vertAlign w:val="subscript"/>
            <w:lang w:bidi="ar"/>
          </w:rPr>
          <m:t>i</m:t>
        </m:r>
        <m:r>
          <m:rPr/>
          <w:rPr>
            <w:rFonts w:ascii="Cambria Math" w:hAnsi="Cambria Math"/>
            <w:sz w:val="20"/>
            <w:szCs w:val="20"/>
            <w:lang w:bidi="ar"/>
          </w:rPr>
          <m:t>=Y</m:t>
        </m:r>
        <m:r>
          <m:rPr/>
          <w:rPr>
            <w:rFonts w:ascii="Cambria Math" w:hAnsi="Cambria Math"/>
            <w:sz w:val="20"/>
            <w:szCs w:val="20"/>
            <w:vertAlign w:val="subscript"/>
            <w:lang w:bidi="ar"/>
          </w:rPr>
          <m:t>i</m:t>
        </m:r>
        <m:r>
          <m:rPr/>
          <w:rPr>
            <w:rFonts w:ascii="Cambria Math" w:hAnsi="Cambria Math"/>
            <w:sz w:val="20"/>
            <w:szCs w:val="20"/>
            <w:lang w:bidi="ar"/>
          </w:rPr>
          <m:t>/Y</m:t>
        </m:r>
        <m:r>
          <m:rPr/>
          <w:rPr>
            <w:rFonts w:ascii="Cambria Math" w:hAnsi="Cambria Math"/>
            <w:sz w:val="13"/>
            <w:szCs w:val="13"/>
            <w:lang w:bidi="ar"/>
          </w:rPr>
          <m:t>max</m:t>
        </m:r>
        <m:r>
          <m:rPr/>
          <w:rPr>
            <w:rFonts w:ascii="Cambria Math" w:hAnsi="Cambria Math"/>
            <w:sz w:val="22"/>
            <w:lang w:bidi="ar"/>
          </w:rPr>
          <m:t>×</m:t>
        </m:r>
        <m:r>
          <m:rPr/>
          <w:rPr>
            <w:rFonts w:ascii="Cambria Math" w:hAnsi="Cambria Math"/>
            <w:sz w:val="20"/>
            <w:szCs w:val="20"/>
            <w:lang w:bidi="ar"/>
          </w:rPr>
          <m:t>P</m:t>
        </m:r>
        <m:r>
          <m:rPr/>
          <w:rPr>
            <w:rFonts w:ascii="Cambria Math" w:hAnsi="Cambria Math"/>
            <w:sz w:val="20"/>
            <w:szCs w:val="20"/>
            <w:vertAlign w:val="subscript"/>
            <w:lang w:bidi="ar"/>
          </w:rPr>
          <m:t>i</m:t>
        </m:r>
      </m:oMath>
      <w:r>
        <w:rPr>
          <w:rFonts w:hint="eastAsia" w:ascii="微软雅黑" w:hAnsi="微软雅黑" w:eastAsia="微软雅黑"/>
        </w:rPr>
        <w:tab/>
      </w:r>
      <w:r>
        <w:t>(I.</w:t>
      </w:r>
      <w:r>
        <w:rPr>
          <w:rFonts w:hint="eastAsia"/>
        </w:rPr>
        <w:t>9</w:t>
      </w:r>
      <w:r>
        <w:t>)</w:t>
      </w:r>
    </w:p>
    <w:p w14:paraId="0FD4A4C3">
      <w:pPr>
        <w:pStyle w:val="57"/>
        <w:ind w:firstLine="420"/>
      </w:pPr>
      <w:r>
        <w:rPr>
          <w:rFonts w:hint="eastAsia"/>
        </w:rPr>
        <w:t>式中：</w:t>
      </w:r>
    </w:p>
    <w:p w14:paraId="3B5491F4">
      <w:pPr>
        <w:pStyle w:val="58"/>
        <w:ind w:firstLine="420"/>
      </w:pPr>
      <w:r>
        <w:t>H</w:t>
      </w:r>
      <w:r>
        <w:rPr>
          <w:vertAlign w:val="subscript"/>
        </w:rPr>
        <w:t>i</w:t>
      </w:r>
      <w:r>
        <w:t>——评价单元</w:t>
      </w:r>
      <w:r>
        <w:rPr>
          <w:rFonts w:hint="eastAsia"/>
        </w:rPr>
        <w:t>i</w:t>
      </w:r>
      <w:r>
        <w:t>危险性指数；</w:t>
      </w:r>
    </w:p>
    <w:p w14:paraId="367011F0">
      <w:pPr>
        <w:pStyle w:val="58"/>
        <w:ind w:firstLine="420"/>
      </w:pPr>
      <w:r>
        <w:t>Y</w:t>
      </w:r>
      <w:r>
        <w:rPr>
          <w:vertAlign w:val="subscript"/>
        </w:rPr>
        <w:t>i</w:t>
      </w:r>
      <w:r>
        <w:t>——评价单元</w:t>
      </w:r>
      <w:r>
        <w:rPr>
          <w:rFonts w:hint="eastAsia"/>
        </w:rPr>
        <w:t>i</w:t>
      </w:r>
      <w:r>
        <w:t>易发性指数；</w:t>
      </w:r>
    </w:p>
    <w:p w14:paraId="046CE4EE">
      <w:pPr>
        <w:pStyle w:val="58"/>
        <w:ind w:firstLine="420"/>
      </w:pPr>
      <w:r>
        <w:t>Ymax——易发性指数最大值；</w:t>
      </w:r>
    </w:p>
    <w:p w14:paraId="60972F8A">
      <w:pPr>
        <w:pStyle w:val="58"/>
        <w:ind w:firstLine="420"/>
      </w:pPr>
      <w:r>
        <w:t>P</w:t>
      </w:r>
      <w:r>
        <w:rPr>
          <w:vertAlign w:val="subscript"/>
        </w:rPr>
        <w:t>i</w:t>
      </w:r>
      <w:r>
        <w:t>——某工况</w:t>
      </w:r>
      <w:r>
        <w:rPr>
          <w:rFonts w:hint="eastAsia"/>
        </w:rPr>
        <w:t>降雨影响强度指数。</w:t>
      </w:r>
    </w:p>
    <w:p w14:paraId="380AB9F5">
      <w:pPr>
        <w:pStyle w:val="58"/>
        <w:ind w:firstLine="420"/>
      </w:pPr>
      <w:r>
        <w:rPr>
          <w:rFonts w:hint="eastAsia"/>
        </w:rPr>
        <w:t>即基于评价区历史上有地质灾害发生的事件，假设有监测记录以来，特定时段导致地质灾害群发的阈值降雨量下限Lt为灾害发生的触发因素，不同降雨工况降雨强度指数则可表达为Pi=L/Lt，L为不同工况下特定时段降雨特征值。</w:t>
      </w:r>
    </w:p>
    <w:p w14:paraId="013744EC">
      <w:pPr>
        <w:pStyle w:val="58"/>
        <w:ind w:firstLine="420"/>
      </w:pPr>
      <w:r>
        <w:rPr>
          <w:rFonts w:hint="eastAsia"/>
        </w:rPr>
        <w:t>方法二：基于边坡稳定性分析的H确定方法。根据不同降雨工况或特定工况对边坡岩土体粘聚力C和内摩擦角φ进行强度折减，采用极限平衡法、数值分析等方法，逐坡计算斜坡稳定性系数Fs，参照表J.9分段插值确定危险性指数H。</w:t>
      </w:r>
    </w:p>
    <w:p w14:paraId="7697CC05">
      <w:pPr>
        <w:pStyle w:val="79"/>
        <w:spacing w:before="156" w:after="156"/>
      </w:pPr>
      <w:r>
        <w:rPr>
          <w:rFonts w:hint="eastAsia"/>
        </w:rPr>
        <w:t>稳定性系数与危险性指数Hi对应推荐表</w:t>
      </w:r>
    </w:p>
    <w:tbl>
      <w:tblPr>
        <w:tblStyle w:val="2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9"/>
        <w:gridCol w:w="1678"/>
        <w:gridCol w:w="1678"/>
        <w:gridCol w:w="1848"/>
        <w:gridCol w:w="1422"/>
      </w:tblGrid>
      <w:tr w14:paraId="5765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1537" w:type="pct"/>
            <w:shd w:val="clear" w:color="auto" w:fill="auto"/>
            <w:vAlign w:val="center"/>
          </w:tcPr>
          <w:p w14:paraId="5CF789B0">
            <w:pPr>
              <w:spacing w:line="240" w:lineRule="auto"/>
              <w:jc w:val="center"/>
              <w:rPr>
                <w:rFonts w:ascii="宋体" w:hAnsi="宋体"/>
                <w:sz w:val="18"/>
                <w:szCs w:val="18"/>
              </w:rPr>
            </w:pPr>
            <w:r>
              <w:rPr>
                <w:rFonts w:ascii="宋体" w:hAnsi="宋体"/>
                <w:sz w:val="18"/>
                <w:szCs w:val="18"/>
              </w:rPr>
              <w:t>稳定性系数</w:t>
            </w:r>
            <w:r>
              <w:rPr>
                <w:rFonts w:ascii="宋体" w:hAnsi="宋体"/>
                <w:i/>
                <w:sz w:val="18"/>
                <w:szCs w:val="18"/>
              </w:rPr>
              <w:t>Fs</w:t>
            </w:r>
          </w:p>
        </w:tc>
        <w:tc>
          <w:tcPr>
            <w:tcW w:w="877" w:type="pct"/>
            <w:shd w:val="clear" w:color="auto" w:fill="auto"/>
            <w:vAlign w:val="center"/>
          </w:tcPr>
          <w:p w14:paraId="1F6A1EB3">
            <w:pPr>
              <w:spacing w:line="240" w:lineRule="auto"/>
              <w:jc w:val="center"/>
              <w:rPr>
                <w:rFonts w:ascii="宋体" w:hAnsi="宋体"/>
                <w:sz w:val="18"/>
                <w:szCs w:val="18"/>
              </w:rPr>
            </w:pPr>
            <w:r>
              <w:rPr>
                <w:rFonts w:ascii="宋体" w:hAnsi="宋体"/>
                <w:i/>
              </w:rPr>
              <w:t>Fs</w:t>
            </w:r>
            <w:r>
              <w:rPr>
                <w:rFonts w:hint="eastAsia" w:ascii="宋体" w:hAnsi="宋体"/>
                <w:sz w:val="18"/>
                <w:szCs w:val="18"/>
              </w:rPr>
              <w:t>≤</w:t>
            </w:r>
            <w:r>
              <w:rPr>
                <w:rFonts w:ascii="宋体" w:hAnsi="宋体"/>
                <w:sz w:val="18"/>
                <w:szCs w:val="18"/>
              </w:rPr>
              <w:t>1</w:t>
            </w:r>
          </w:p>
        </w:tc>
        <w:tc>
          <w:tcPr>
            <w:tcW w:w="877" w:type="pct"/>
            <w:shd w:val="clear" w:color="auto" w:fill="auto"/>
            <w:vAlign w:val="center"/>
          </w:tcPr>
          <w:p w14:paraId="452872DF">
            <w:pPr>
              <w:spacing w:line="240" w:lineRule="auto"/>
              <w:jc w:val="center"/>
              <w:rPr>
                <w:rFonts w:ascii="宋体" w:hAnsi="宋体"/>
                <w:sz w:val="18"/>
                <w:szCs w:val="18"/>
              </w:rPr>
            </w:pPr>
            <w:r>
              <w:rPr>
                <w:rFonts w:ascii="宋体" w:hAnsi="宋体"/>
                <w:sz w:val="18"/>
                <w:szCs w:val="18"/>
              </w:rPr>
              <w:t>1</w:t>
            </w:r>
            <w:r>
              <w:rPr>
                <w:rFonts w:hint="eastAsia" w:ascii="宋体" w:hAnsi="宋体"/>
                <w:sz w:val="18"/>
                <w:szCs w:val="18"/>
              </w:rPr>
              <w:t>＜</w:t>
            </w:r>
            <w:r>
              <w:rPr>
                <w:rFonts w:ascii="宋体" w:hAnsi="宋体"/>
                <w:i/>
              </w:rPr>
              <w:t>Fs</w:t>
            </w:r>
            <w:r>
              <w:rPr>
                <w:rFonts w:hint="eastAsia" w:ascii="宋体" w:hAnsi="宋体"/>
                <w:sz w:val="18"/>
                <w:szCs w:val="18"/>
              </w:rPr>
              <w:t>≤</w:t>
            </w:r>
            <w:r>
              <w:rPr>
                <w:rFonts w:ascii="宋体" w:hAnsi="宋体"/>
                <w:sz w:val="18"/>
                <w:szCs w:val="18"/>
              </w:rPr>
              <w:t>1.05</w:t>
            </w:r>
          </w:p>
        </w:tc>
        <w:tc>
          <w:tcPr>
            <w:tcW w:w="966" w:type="pct"/>
            <w:shd w:val="clear" w:color="auto" w:fill="auto"/>
            <w:vAlign w:val="center"/>
          </w:tcPr>
          <w:p w14:paraId="3BCBB78B">
            <w:pPr>
              <w:spacing w:line="240" w:lineRule="auto"/>
              <w:jc w:val="center"/>
              <w:rPr>
                <w:rFonts w:ascii="宋体" w:hAnsi="宋体"/>
                <w:sz w:val="18"/>
                <w:szCs w:val="18"/>
              </w:rPr>
            </w:pPr>
            <w:r>
              <w:rPr>
                <w:rFonts w:ascii="宋体" w:hAnsi="宋体"/>
                <w:sz w:val="18"/>
                <w:szCs w:val="18"/>
              </w:rPr>
              <w:t>1.05</w:t>
            </w:r>
            <w:r>
              <w:rPr>
                <w:rFonts w:hint="eastAsia" w:ascii="宋体" w:hAnsi="宋体"/>
                <w:sz w:val="18"/>
                <w:szCs w:val="18"/>
              </w:rPr>
              <w:t>＜</w:t>
            </w:r>
            <w:r>
              <w:rPr>
                <w:rFonts w:ascii="宋体" w:hAnsi="宋体"/>
                <w:i/>
              </w:rPr>
              <w:t>Fs</w:t>
            </w:r>
            <w:r>
              <w:rPr>
                <w:rFonts w:hint="eastAsia" w:ascii="宋体" w:hAnsi="宋体"/>
                <w:sz w:val="18"/>
                <w:szCs w:val="18"/>
              </w:rPr>
              <w:t>≤</w:t>
            </w:r>
            <w:r>
              <w:rPr>
                <w:rFonts w:ascii="宋体" w:hAnsi="宋体"/>
                <w:sz w:val="18"/>
                <w:szCs w:val="18"/>
              </w:rPr>
              <w:t>1.15</w:t>
            </w:r>
          </w:p>
        </w:tc>
        <w:tc>
          <w:tcPr>
            <w:tcW w:w="743" w:type="pct"/>
            <w:shd w:val="clear" w:color="auto" w:fill="auto"/>
            <w:vAlign w:val="center"/>
          </w:tcPr>
          <w:p w14:paraId="114D23DE">
            <w:pPr>
              <w:spacing w:line="240" w:lineRule="auto"/>
              <w:jc w:val="center"/>
              <w:rPr>
                <w:rFonts w:ascii="宋体" w:hAnsi="宋体"/>
                <w:sz w:val="18"/>
                <w:szCs w:val="18"/>
              </w:rPr>
            </w:pPr>
            <w:r>
              <w:rPr>
                <w:rFonts w:ascii="宋体" w:hAnsi="宋体"/>
                <w:i/>
              </w:rPr>
              <w:t>Fs</w:t>
            </w:r>
            <w:r>
              <w:rPr>
                <w:rFonts w:hint="eastAsia" w:ascii="宋体" w:hAnsi="宋体"/>
                <w:sz w:val="18"/>
                <w:szCs w:val="18"/>
              </w:rPr>
              <w:t>＞</w:t>
            </w:r>
            <w:r>
              <w:rPr>
                <w:rFonts w:ascii="宋体" w:hAnsi="宋体"/>
                <w:sz w:val="18"/>
                <w:szCs w:val="18"/>
              </w:rPr>
              <w:t>1.15</w:t>
            </w:r>
          </w:p>
        </w:tc>
      </w:tr>
      <w:tr w14:paraId="21DA1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1537" w:type="pct"/>
            <w:shd w:val="clear" w:color="auto" w:fill="auto"/>
            <w:vAlign w:val="center"/>
          </w:tcPr>
          <w:p w14:paraId="76044D60">
            <w:pPr>
              <w:spacing w:line="240" w:lineRule="auto"/>
              <w:jc w:val="center"/>
              <w:rPr>
                <w:rFonts w:ascii="宋体" w:hAnsi="宋体"/>
                <w:sz w:val="18"/>
                <w:szCs w:val="18"/>
              </w:rPr>
            </w:pPr>
            <w:r>
              <w:rPr>
                <w:rFonts w:ascii="宋体" w:hAnsi="宋体"/>
                <w:sz w:val="18"/>
                <w:szCs w:val="18"/>
              </w:rPr>
              <w:t>稳定性等级</w:t>
            </w:r>
          </w:p>
        </w:tc>
        <w:tc>
          <w:tcPr>
            <w:tcW w:w="877" w:type="pct"/>
            <w:shd w:val="clear" w:color="auto" w:fill="auto"/>
            <w:vAlign w:val="center"/>
          </w:tcPr>
          <w:p w14:paraId="1E195B7B">
            <w:pPr>
              <w:spacing w:line="240" w:lineRule="auto"/>
              <w:jc w:val="center"/>
              <w:rPr>
                <w:rFonts w:ascii="宋体" w:hAnsi="宋体"/>
                <w:sz w:val="18"/>
                <w:szCs w:val="18"/>
              </w:rPr>
            </w:pPr>
            <w:r>
              <w:rPr>
                <w:rFonts w:ascii="宋体" w:hAnsi="宋体"/>
                <w:sz w:val="18"/>
                <w:szCs w:val="18"/>
              </w:rPr>
              <w:t>不稳定</w:t>
            </w:r>
          </w:p>
        </w:tc>
        <w:tc>
          <w:tcPr>
            <w:tcW w:w="877" w:type="pct"/>
            <w:shd w:val="clear" w:color="auto" w:fill="auto"/>
            <w:vAlign w:val="center"/>
          </w:tcPr>
          <w:p w14:paraId="4DD73E0C">
            <w:pPr>
              <w:spacing w:line="240" w:lineRule="auto"/>
              <w:jc w:val="center"/>
              <w:rPr>
                <w:rFonts w:ascii="宋体" w:hAnsi="宋体"/>
                <w:sz w:val="18"/>
                <w:szCs w:val="18"/>
              </w:rPr>
            </w:pPr>
            <w:r>
              <w:rPr>
                <w:rFonts w:ascii="宋体" w:hAnsi="宋体"/>
                <w:sz w:val="18"/>
                <w:szCs w:val="18"/>
              </w:rPr>
              <w:t>欠稳定</w:t>
            </w:r>
          </w:p>
        </w:tc>
        <w:tc>
          <w:tcPr>
            <w:tcW w:w="966" w:type="pct"/>
            <w:shd w:val="clear" w:color="auto" w:fill="auto"/>
            <w:vAlign w:val="center"/>
          </w:tcPr>
          <w:p w14:paraId="55742D52">
            <w:pPr>
              <w:spacing w:line="240" w:lineRule="auto"/>
              <w:jc w:val="center"/>
              <w:rPr>
                <w:rFonts w:ascii="宋体" w:hAnsi="宋体"/>
                <w:sz w:val="18"/>
                <w:szCs w:val="18"/>
              </w:rPr>
            </w:pPr>
            <w:r>
              <w:rPr>
                <w:rFonts w:ascii="宋体" w:hAnsi="宋体"/>
                <w:sz w:val="18"/>
                <w:szCs w:val="18"/>
              </w:rPr>
              <w:t>基本稳定</w:t>
            </w:r>
          </w:p>
        </w:tc>
        <w:tc>
          <w:tcPr>
            <w:tcW w:w="743" w:type="pct"/>
            <w:shd w:val="clear" w:color="auto" w:fill="auto"/>
            <w:vAlign w:val="center"/>
          </w:tcPr>
          <w:p w14:paraId="64FB9042">
            <w:pPr>
              <w:spacing w:line="240" w:lineRule="auto"/>
              <w:jc w:val="center"/>
              <w:rPr>
                <w:rFonts w:ascii="宋体" w:hAnsi="宋体"/>
                <w:sz w:val="18"/>
                <w:szCs w:val="18"/>
              </w:rPr>
            </w:pPr>
            <w:r>
              <w:rPr>
                <w:rFonts w:ascii="宋体" w:hAnsi="宋体"/>
                <w:sz w:val="18"/>
                <w:szCs w:val="18"/>
              </w:rPr>
              <w:t>稳定</w:t>
            </w:r>
          </w:p>
        </w:tc>
      </w:tr>
      <w:tr w14:paraId="17D87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1537" w:type="pct"/>
            <w:shd w:val="clear" w:color="auto" w:fill="auto"/>
            <w:vAlign w:val="center"/>
          </w:tcPr>
          <w:p w14:paraId="477BA3A3">
            <w:pPr>
              <w:spacing w:line="240" w:lineRule="auto"/>
              <w:jc w:val="center"/>
              <w:rPr>
                <w:rFonts w:ascii="宋体" w:hAnsi="宋体"/>
                <w:sz w:val="18"/>
                <w:szCs w:val="18"/>
              </w:rPr>
            </w:pPr>
            <w:r>
              <w:rPr>
                <w:rFonts w:hint="eastAsia" w:ascii="宋体" w:hAnsi="宋体"/>
                <w:sz w:val="18"/>
                <w:szCs w:val="18"/>
              </w:rPr>
              <w:t>危险性指数</w:t>
            </w:r>
            <w:r>
              <w:rPr>
                <w:rFonts w:hint="eastAsia" w:ascii="宋体" w:hAnsi="宋体"/>
                <w:i/>
                <w:sz w:val="18"/>
                <w:szCs w:val="18"/>
              </w:rPr>
              <w:t>H</w:t>
            </w:r>
          </w:p>
        </w:tc>
        <w:tc>
          <w:tcPr>
            <w:tcW w:w="877" w:type="pct"/>
            <w:shd w:val="clear" w:color="auto" w:fill="auto"/>
            <w:vAlign w:val="center"/>
          </w:tcPr>
          <w:p w14:paraId="6D4187DE">
            <w:pPr>
              <w:spacing w:line="240" w:lineRule="auto"/>
              <w:jc w:val="center"/>
              <w:rPr>
                <w:rFonts w:ascii="宋体" w:hAnsi="宋体"/>
                <w:sz w:val="18"/>
                <w:szCs w:val="18"/>
              </w:rPr>
            </w:pPr>
            <w:r>
              <w:rPr>
                <w:rFonts w:hint="eastAsia" w:ascii="宋体" w:hAnsi="宋体"/>
                <w:i/>
                <w:sz w:val="18"/>
                <w:szCs w:val="18"/>
              </w:rPr>
              <w:t>H</w:t>
            </w:r>
            <w:r>
              <w:rPr>
                <w:rFonts w:ascii="宋体" w:hAnsi="宋体"/>
                <w:sz w:val="18"/>
                <w:szCs w:val="18"/>
              </w:rPr>
              <w:t>=1</w:t>
            </w:r>
          </w:p>
        </w:tc>
        <w:tc>
          <w:tcPr>
            <w:tcW w:w="877" w:type="pct"/>
            <w:shd w:val="clear" w:color="auto" w:fill="auto"/>
            <w:vAlign w:val="center"/>
          </w:tcPr>
          <w:p w14:paraId="06063FD2">
            <w:pPr>
              <w:spacing w:line="240" w:lineRule="auto"/>
              <w:jc w:val="center"/>
              <w:rPr>
                <w:rFonts w:ascii="宋体" w:hAnsi="宋体"/>
                <w:sz w:val="18"/>
                <w:szCs w:val="18"/>
              </w:rPr>
            </w:pPr>
            <w:r>
              <w:rPr>
                <w:rFonts w:ascii="宋体" w:hAnsi="宋体"/>
                <w:sz w:val="18"/>
                <w:szCs w:val="18"/>
              </w:rPr>
              <w:t>0.8</w:t>
            </w:r>
            <w:r>
              <w:rPr>
                <w:rFonts w:hint="eastAsia" w:ascii="宋体" w:hAnsi="宋体"/>
                <w:sz w:val="18"/>
                <w:szCs w:val="18"/>
              </w:rPr>
              <w:t>≤</w:t>
            </w:r>
            <w:r>
              <w:rPr>
                <w:rFonts w:hint="eastAsia" w:ascii="宋体" w:hAnsi="宋体"/>
                <w:i/>
                <w:sz w:val="18"/>
                <w:szCs w:val="18"/>
              </w:rPr>
              <w:t>H</w:t>
            </w:r>
            <w:r>
              <w:rPr>
                <w:rFonts w:hint="eastAsia" w:ascii="宋体" w:hAnsi="宋体"/>
                <w:sz w:val="18"/>
                <w:szCs w:val="18"/>
              </w:rPr>
              <w:t>＜</w:t>
            </w:r>
            <w:r>
              <w:rPr>
                <w:rFonts w:ascii="宋体" w:hAnsi="宋体"/>
                <w:sz w:val="18"/>
                <w:szCs w:val="18"/>
              </w:rPr>
              <w:t>1</w:t>
            </w:r>
          </w:p>
        </w:tc>
        <w:tc>
          <w:tcPr>
            <w:tcW w:w="966" w:type="pct"/>
            <w:shd w:val="clear" w:color="auto" w:fill="auto"/>
            <w:vAlign w:val="center"/>
          </w:tcPr>
          <w:p w14:paraId="38CB0B9E">
            <w:pPr>
              <w:spacing w:line="240" w:lineRule="auto"/>
              <w:jc w:val="center"/>
              <w:rPr>
                <w:rFonts w:ascii="宋体" w:hAnsi="宋体"/>
                <w:sz w:val="18"/>
                <w:szCs w:val="18"/>
              </w:rPr>
            </w:pPr>
            <w:r>
              <w:rPr>
                <w:rFonts w:ascii="宋体" w:hAnsi="宋体"/>
                <w:sz w:val="18"/>
                <w:szCs w:val="18"/>
              </w:rPr>
              <w:t>0.2</w:t>
            </w:r>
            <w:r>
              <w:rPr>
                <w:rFonts w:hint="eastAsia" w:ascii="宋体" w:hAnsi="宋体"/>
                <w:sz w:val="18"/>
                <w:szCs w:val="18"/>
              </w:rPr>
              <w:t>≤</w:t>
            </w:r>
            <w:r>
              <w:rPr>
                <w:rFonts w:hint="eastAsia" w:ascii="宋体" w:hAnsi="宋体"/>
                <w:i/>
                <w:sz w:val="18"/>
                <w:szCs w:val="18"/>
              </w:rPr>
              <w:t>H</w:t>
            </w:r>
            <w:r>
              <w:rPr>
                <w:rFonts w:ascii="宋体" w:hAnsi="宋体"/>
                <w:sz w:val="18"/>
                <w:szCs w:val="18"/>
              </w:rPr>
              <w:t>＜0.8</w:t>
            </w:r>
          </w:p>
        </w:tc>
        <w:tc>
          <w:tcPr>
            <w:tcW w:w="743" w:type="pct"/>
            <w:shd w:val="clear" w:color="auto" w:fill="auto"/>
            <w:vAlign w:val="center"/>
          </w:tcPr>
          <w:p w14:paraId="60898C4E">
            <w:pPr>
              <w:spacing w:line="240" w:lineRule="auto"/>
              <w:jc w:val="center"/>
              <w:rPr>
                <w:rFonts w:ascii="宋体" w:hAnsi="宋体"/>
                <w:sz w:val="18"/>
                <w:szCs w:val="18"/>
              </w:rPr>
            </w:pPr>
            <w:r>
              <w:rPr>
                <w:rFonts w:hint="eastAsia" w:ascii="宋体" w:hAnsi="宋体"/>
                <w:i/>
                <w:sz w:val="18"/>
                <w:szCs w:val="18"/>
              </w:rPr>
              <w:t>H</w:t>
            </w:r>
            <w:r>
              <w:rPr>
                <w:rFonts w:ascii="宋体" w:hAnsi="宋体"/>
                <w:sz w:val="18"/>
                <w:szCs w:val="18"/>
              </w:rPr>
              <w:t>=0.2</w:t>
            </w:r>
          </w:p>
        </w:tc>
      </w:tr>
    </w:tbl>
    <w:p w14:paraId="4F1521A4">
      <w:pPr>
        <w:pStyle w:val="81"/>
        <w:spacing w:before="156" w:after="156"/>
      </w:pPr>
      <w:bookmarkStart w:id="348" w:name="_Toc176194182"/>
      <w:bookmarkStart w:id="349" w:name="_Toc178172386"/>
      <w:r>
        <w:rPr>
          <w:rFonts w:hint="eastAsia"/>
        </w:rPr>
        <w:t>地面塌陷地质灾害</w:t>
      </w:r>
      <w:bookmarkEnd w:id="348"/>
      <w:bookmarkEnd w:id="349"/>
    </w:p>
    <w:p w14:paraId="160CA28E">
      <w:pPr>
        <w:pStyle w:val="58"/>
        <w:ind w:firstLine="420"/>
      </w:pPr>
      <w:r>
        <w:rPr>
          <w:rFonts w:hint="eastAsia"/>
        </w:rPr>
        <w:t>地面塌陷地质灾害危险性指数H可采用公式（</w:t>
      </w:r>
      <w:r>
        <w:rPr>
          <w:rFonts w:hAnsi="宋体"/>
        </w:rPr>
        <w:t>I.</w:t>
      </w:r>
      <w:r>
        <w:rPr>
          <w:rFonts w:hint="eastAsia" w:hAnsi="宋体"/>
        </w:rPr>
        <w:t>10</w:t>
      </w:r>
      <w:r>
        <w:rPr>
          <w:rFonts w:hint="eastAsia"/>
        </w:rPr>
        <w:t>）计算：</w:t>
      </w:r>
    </w:p>
    <w:p w14:paraId="7D3AE958">
      <w:pPr>
        <w:pStyle w:val="115"/>
      </w:pPr>
      <w:r>
        <w:rPr>
          <w:rFonts w:hint="eastAsia"/>
        </w:rPr>
        <w:tab/>
      </w:r>
      <m:oMath>
        <m:r>
          <m:rPr/>
          <w:rPr>
            <w:rFonts w:ascii="Cambria Math" w:hAnsi="Cambria Math"/>
          </w:rPr>
          <m:t>H=</m:t>
        </m:r>
        <m:r>
          <m:rPr/>
          <w:rPr>
            <w:rFonts w:ascii="Cambria Math" w:hAnsi="Cambria Math"/>
            <w:sz w:val="20"/>
            <w:szCs w:val="20"/>
            <w:lang w:bidi="ar"/>
          </w:rPr>
          <m:t>Y</m:t>
        </m:r>
        <m:r>
          <m:rPr/>
          <w:rPr>
            <w:rFonts w:ascii="Cambria Math" w:hAnsi="Cambria Math"/>
            <w:sz w:val="20"/>
            <w:szCs w:val="20"/>
            <w:vertAlign w:val="subscript"/>
            <w:lang w:bidi="ar"/>
          </w:rPr>
          <m:t>i</m:t>
        </m:r>
        <m:r>
          <m:rPr/>
          <w:rPr>
            <w:rFonts w:ascii="Cambria Math" w:hAnsi="Cambria Math"/>
            <w:sz w:val="20"/>
            <w:szCs w:val="20"/>
            <w:lang w:bidi="ar"/>
          </w:rPr>
          <m:t>/Y</m:t>
        </m:r>
        <m:r>
          <m:rPr/>
          <w:rPr>
            <w:rFonts w:ascii="Cambria Math" w:hAnsi="Cambria Math"/>
            <w:sz w:val="13"/>
            <w:szCs w:val="13"/>
            <w:lang w:bidi="ar"/>
          </w:rPr>
          <m:t>max</m:t>
        </m:r>
        <m:r>
          <m:rPr/>
          <w:rPr>
            <w:rFonts w:ascii="Cambria Math" w:hAnsi="Cambria Math"/>
            <w:sz w:val="22"/>
            <w:lang w:bidi="ar"/>
          </w:rPr>
          <m:t>×</m:t>
        </m:r>
        <m:sSub>
          <m:sSubPr>
            <m:ctrlPr>
              <w:rPr>
                <w:rFonts w:ascii="Cambria Math" w:hAnsi="Cambria Math"/>
                <w:i/>
                <w:sz w:val="20"/>
                <w:szCs w:val="20"/>
                <w:lang w:bidi="ar"/>
              </w:rPr>
            </m:ctrlPr>
          </m:sSubPr>
          <m:e>
            <m:r>
              <m:rPr/>
              <w:rPr>
                <w:rFonts w:ascii="Cambria Math" w:hAnsi="Cambria Math"/>
                <w:sz w:val="20"/>
                <w:szCs w:val="20"/>
                <w:lang w:bidi="ar"/>
              </w:rPr>
              <m:t>T</m:t>
            </m:r>
            <m:ctrlPr>
              <w:rPr>
                <w:rFonts w:ascii="Cambria Math" w:hAnsi="Cambria Math"/>
                <w:i/>
                <w:sz w:val="20"/>
                <w:szCs w:val="20"/>
                <w:lang w:bidi="ar"/>
              </w:rPr>
            </m:ctrlPr>
          </m:e>
          <m:sub>
            <m:r>
              <m:rPr/>
              <w:rPr>
                <w:rFonts w:hint="eastAsia" w:ascii="Cambria Math" w:hAnsi="Cambria Math"/>
                <w:sz w:val="20"/>
                <w:szCs w:val="20"/>
                <w:lang w:bidi="ar"/>
              </w:rPr>
              <m:t>f</m:t>
            </m:r>
            <m:ctrlPr>
              <w:rPr>
                <w:rFonts w:ascii="Cambria Math" w:hAnsi="Cambria Math"/>
                <w:i/>
                <w:sz w:val="20"/>
                <w:szCs w:val="20"/>
                <w:lang w:bidi="ar"/>
              </w:rPr>
            </m:ctrlPr>
          </m:sub>
        </m:sSub>
      </m:oMath>
      <w:r>
        <w:rPr>
          <w:rFonts w:hint="eastAsia" w:ascii="微软雅黑" w:hAnsi="微软雅黑" w:eastAsia="微软雅黑"/>
        </w:rPr>
        <w:tab/>
      </w:r>
      <w:r>
        <w:t>(I.</w:t>
      </w:r>
      <w:r>
        <w:fldChar w:fldCharType="begin"/>
      </w:r>
      <w:r>
        <w:instrText xml:space="preserve"> seq fulu_equation_133678648302635874 </w:instrText>
      </w:r>
      <w:r>
        <w:fldChar w:fldCharType="separate"/>
      </w:r>
      <w:r>
        <w:t>1</w:t>
      </w:r>
      <w:r>
        <w:fldChar w:fldCharType="end"/>
      </w:r>
      <w:r>
        <w:rPr>
          <w:rFonts w:hint="eastAsia"/>
        </w:rPr>
        <w:t>0</w:t>
      </w:r>
      <w:r>
        <w:t>)</w:t>
      </w:r>
    </w:p>
    <w:p w14:paraId="3F4D22D0">
      <w:pPr>
        <w:pStyle w:val="57"/>
        <w:ind w:firstLine="420"/>
      </w:pPr>
      <w:r>
        <w:rPr>
          <w:rFonts w:hint="eastAsia"/>
        </w:rPr>
        <w:t>式中：</w:t>
      </w:r>
    </w:p>
    <w:p w14:paraId="609ACCD6">
      <w:pPr>
        <w:spacing w:line="300" w:lineRule="auto"/>
        <w:ind w:firstLine="420" w:firstLineChars="200"/>
      </w:pPr>
      <w:r>
        <w:rPr>
          <w:rFonts w:hint="eastAsia" w:ascii="宋体" w:hAnsi="Times New Roman"/>
          <w:kern w:val="0"/>
          <w:szCs w:val="20"/>
        </w:rPr>
        <w:t>T</w:t>
      </w:r>
      <w:r>
        <w:rPr>
          <w:rFonts w:hint="eastAsia" w:ascii="宋体" w:hAnsi="Times New Roman"/>
          <w:kern w:val="0"/>
          <w:szCs w:val="20"/>
          <w:vertAlign w:val="subscript"/>
        </w:rPr>
        <w:t>f</w:t>
      </w:r>
      <w:r>
        <w:rPr>
          <w:rFonts w:ascii="宋体" w:hAnsi="Times New Roman"/>
          <w:kern w:val="0"/>
          <w:szCs w:val="20"/>
          <w:vertAlign w:val="subscript"/>
        </w:rPr>
        <w:t xml:space="preserve"> </w:t>
      </w:r>
      <w:r>
        <w:rPr>
          <w:rFonts w:ascii="宋体" w:hAnsi="Times New Roman"/>
          <w:kern w:val="0"/>
          <w:szCs w:val="20"/>
        </w:rPr>
        <w:t>——</w:t>
      </w:r>
      <w:r>
        <w:rPr>
          <w:rFonts w:hint="eastAsia" w:ascii="宋体" w:hAnsi="Times New Roman"/>
          <w:kern w:val="0"/>
          <w:szCs w:val="20"/>
        </w:rPr>
        <w:t>诱发指数。岩溶塌陷根据表</w:t>
      </w:r>
      <w:r>
        <w:rPr>
          <w:rFonts w:ascii="宋体" w:hAnsi="Times New Roman"/>
          <w:kern w:val="0"/>
          <w:szCs w:val="20"/>
        </w:rPr>
        <w:t>I.1</w:t>
      </w:r>
      <w:r>
        <w:rPr>
          <w:rFonts w:hint="eastAsia" w:ascii="宋体" w:hAnsi="Times New Roman"/>
          <w:kern w:val="0"/>
          <w:szCs w:val="20"/>
        </w:rPr>
        <w:t>0按公式</w:t>
      </w:r>
      <w:r>
        <w:rPr>
          <w:rFonts w:hint="eastAsia"/>
        </w:rPr>
        <w:t>（</w:t>
      </w:r>
      <w:r>
        <w:rPr>
          <w:rFonts w:ascii="宋体" w:hAnsi="宋体"/>
        </w:rPr>
        <w:t>I.1</w:t>
      </w:r>
      <w:r>
        <w:rPr>
          <w:rFonts w:hint="eastAsia" w:ascii="宋体" w:hAnsi="宋体"/>
        </w:rPr>
        <w:t>1</w:t>
      </w:r>
      <w:r>
        <w:rPr>
          <w:rFonts w:hint="eastAsia"/>
        </w:rPr>
        <w:t>）计算；采空塌陷根据表</w:t>
      </w:r>
      <w:r>
        <w:rPr>
          <w:rFonts w:ascii="宋体" w:hAnsi="Times New Roman"/>
          <w:kern w:val="0"/>
          <w:szCs w:val="20"/>
        </w:rPr>
        <w:t>I.1</w:t>
      </w:r>
      <w:r>
        <w:rPr>
          <w:rFonts w:hint="eastAsia" w:ascii="宋体" w:hAnsi="Times New Roman"/>
          <w:kern w:val="0"/>
          <w:szCs w:val="20"/>
        </w:rPr>
        <w:t>0</w:t>
      </w:r>
      <w:r>
        <w:rPr>
          <w:rFonts w:hint="eastAsia"/>
        </w:rPr>
        <w:t>，选取1和4项按公式（</w:t>
      </w:r>
      <w:r>
        <w:rPr>
          <w:rFonts w:ascii="宋体" w:hAnsi="宋体"/>
        </w:rPr>
        <w:t>I.1</w:t>
      </w:r>
      <w:r>
        <w:rPr>
          <w:rFonts w:hint="eastAsia" w:ascii="宋体" w:hAnsi="宋体"/>
        </w:rPr>
        <w:t>1</w:t>
      </w:r>
      <w:r>
        <w:rPr>
          <w:rFonts w:hint="eastAsia"/>
        </w:rPr>
        <w:t>）计算。</w:t>
      </w:r>
    </w:p>
    <w:p w14:paraId="03CD8C28">
      <w:pPr>
        <w:pStyle w:val="115"/>
      </w:pPr>
      <w:r>
        <w:rPr>
          <w:rFonts w:hint="eastAsia"/>
        </w:rPr>
        <w:tab/>
      </w:r>
      <m:oMath>
        <m:sSub>
          <m:sSubPr>
            <m:ctrlPr>
              <w:rPr>
                <w:rFonts w:ascii="Cambria Math" w:hAnsi="Cambria Math"/>
                <w:i/>
                <w:sz w:val="24"/>
                <w:szCs w:val="24"/>
              </w:rPr>
            </m:ctrlPr>
          </m:sSubPr>
          <m:e>
            <m:r>
              <m:rPr/>
              <w:rPr>
                <w:rFonts w:ascii="Cambria Math" w:hAnsi="Cambria Math"/>
                <w:sz w:val="24"/>
                <w:szCs w:val="24"/>
              </w:rPr>
              <m:t>T</m:t>
            </m:r>
            <m:ctrlPr>
              <w:rPr>
                <w:rFonts w:ascii="Cambria Math" w:hAnsi="Cambria Math"/>
                <w:i/>
                <w:sz w:val="24"/>
                <w:szCs w:val="24"/>
              </w:rPr>
            </m:ctrlPr>
          </m:e>
          <m:sub>
            <m:r>
              <m:rPr/>
              <w:rPr>
                <w:rFonts w:hint="eastAsia" w:ascii="Cambria Math" w:hAnsi="Cambria Math"/>
                <w:sz w:val="24"/>
                <w:szCs w:val="24"/>
              </w:rPr>
              <m:t>f</m:t>
            </m:r>
            <m:ctrlPr>
              <w:rPr>
                <w:rFonts w:ascii="Cambria Math" w:hAnsi="Cambria Math"/>
                <w:i/>
                <w:sz w:val="24"/>
                <w:szCs w:val="24"/>
              </w:rPr>
            </m:ctrlPr>
          </m:sub>
        </m:sSub>
        <m:r>
          <m:rPr>
            <m:sty m:val="p"/>
          </m:rPr>
          <w:rPr>
            <w:rFonts w:ascii="Cambria Math" w:hAnsi="Cambria Math"/>
            <w:sz w:val="24"/>
            <w:szCs w:val="24"/>
          </w:rPr>
          <m:t>=</m:t>
        </m:r>
        <m:limLow>
          <m:limLowPr>
            <m:ctrlPr>
              <w:rPr>
                <w:rFonts w:ascii="Cambria Math" w:hAnsi="Cambria Math"/>
                <w:i/>
                <w:sz w:val="24"/>
                <w:szCs w:val="24"/>
              </w:rPr>
            </m:ctrlPr>
          </m:limLowPr>
          <m:e>
            <m:limUpp>
              <m:limUppPr>
                <m:ctrlPr>
                  <w:rPr>
                    <w:rFonts w:ascii="Cambria Math" w:hAnsi="Cambria Math"/>
                    <w:i/>
                    <w:sz w:val="24"/>
                    <w:szCs w:val="24"/>
                  </w:rPr>
                </m:ctrlPr>
              </m:limUppPr>
              <m:e>
                <m:r>
                  <m:rPr/>
                  <w:rPr>
                    <w:rFonts w:ascii="Cambria Math" w:hAnsi="Cambria Math"/>
                    <w:sz w:val="24"/>
                    <w:szCs w:val="24"/>
                  </w:rPr>
                  <m:t>∑</m:t>
                </m:r>
                <m:ctrlPr>
                  <w:rPr>
                    <w:rFonts w:ascii="Cambria Math" w:hAnsi="Cambria Math"/>
                    <w:i/>
                    <w:sz w:val="24"/>
                    <w:szCs w:val="24"/>
                  </w:rPr>
                </m:ctrlPr>
              </m:e>
              <m:lim>
                <m:r>
                  <m:rPr/>
                  <w:rPr>
                    <w:rFonts w:ascii="Cambria Math" w:hAnsi="Cambria Math"/>
                    <w:sz w:val="24"/>
                    <w:szCs w:val="24"/>
                  </w:rPr>
                  <m:t>n</m:t>
                </m:r>
                <m:ctrlPr>
                  <w:rPr>
                    <w:rFonts w:ascii="Cambria Math" w:hAnsi="Cambria Math"/>
                    <w:i/>
                    <w:sz w:val="24"/>
                    <w:szCs w:val="24"/>
                  </w:rPr>
                </m:ctrlPr>
              </m:lim>
            </m:limUpp>
            <m:ctrlPr>
              <w:rPr>
                <w:rFonts w:ascii="Cambria Math" w:hAnsi="Cambria Math"/>
                <w:i/>
                <w:sz w:val="24"/>
                <w:szCs w:val="24"/>
              </w:rPr>
            </m:ctrlPr>
          </m:e>
          <m:lim>
            <m:r>
              <m:rPr/>
              <w:rPr>
                <w:rFonts w:ascii="Cambria Math" w:hAnsi="Cambria Math"/>
                <w:sz w:val="24"/>
                <w:szCs w:val="24"/>
              </w:rPr>
              <m:t>i=1</m:t>
            </m:r>
            <m:ctrlPr>
              <w:rPr>
                <w:rFonts w:ascii="Cambria Math" w:hAnsi="Cambria Math"/>
                <w:i/>
                <w:sz w:val="24"/>
                <w:szCs w:val="24"/>
              </w:rPr>
            </m:ctrlPr>
          </m:lim>
        </m:limLow>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vertAlign w:val="subscript"/>
              </w:rPr>
              <m:t>i</m:t>
            </m:r>
            <m:ctrlPr>
              <w:rPr>
                <w:rFonts w:ascii="Cambria Math" w:hAnsi="Cambria Math"/>
                <w:i/>
              </w:rPr>
            </m:ctrlPr>
          </m:sub>
        </m:sSub>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vertAlign w:val="subscript"/>
              </w:rPr>
              <m:t>i</m:t>
            </m:r>
            <m:ctrlPr>
              <w:rPr>
                <w:rFonts w:ascii="Cambria Math" w:hAnsi="Cambria Math"/>
                <w:i/>
              </w:rPr>
            </m:ctrlPr>
          </m:sub>
        </m:sSub>
        <m:r>
          <m:rPr/>
          <w:rPr>
            <w:rFonts w:ascii="Cambria Math" w:hAnsi="Cambria Math"/>
            <w:vertAlign w:val="subscript"/>
          </w:rPr>
          <m:t xml:space="preserve"> /</m:t>
        </m:r>
        <m:limLow>
          <m:limLowPr>
            <m:ctrlPr>
              <w:rPr>
                <w:rFonts w:ascii="Cambria Math" w:hAnsi="Cambria Math"/>
                <w:i/>
                <w:sz w:val="24"/>
                <w:szCs w:val="24"/>
              </w:rPr>
            </m:ctrlPr>
          </m:limLowPr>
          <m:e>
            <m:limUpp>
              <m:limUppPr>
                <m:ctrlPr>
                  <w:rPr>
                    <w:rFonts w:ascii="Cambria Math" w:hAnsi="Cambria Math"/>
                    <w:i/>
                    <w:sz w:val="24"/>
                    <w:szCs w:val="24"/>
                  </w:rPr>
                </m:ctrlPr>
              </m:limUppPr>
              <m:e>
                <m:r>
                  <m:rPr/>
                  <w:rPr>
                    <w:rFonts w:ascii="Cambria Math" w:hAnsi="Cambria Math"/>
                    <w:sz w:val="24"/>
                    <w:szCs w:val="24"/>
                  </w:rPr>
                  <m:t>∑</m:t>
                </m:r>
                <m:ctrlPr>
                  <w:rPr>
                    <w:rFonts w:ascii="Cambria Math" w:hAnsi="Cambria Math"/>
                    <w:i/>
                    <w:sz w:val="24"/>
                    <w:szCs w:val="24"/>
                  </w:rPr>
                </m:ctrlPr>
              </m:e>
              <m:lim>
                <m:r>
                  <m:rPr/>
                  <w:rPr>
                    <w:rFonts w:ascii="Cambria Math" w:hAnsi="Cambria Math"/>
                    <w:sz w:val="24"/>
                    <w:szCs w:val="24"/>
                  </w:rPr>
                  <m:t>n</m:t>
                </m:r>
                <m:ctrlPr>
                  <w:rPr>
                    <w:rFonts w:ascii="Cambria Math" w:hAnsi="Cambria Math"/>
                    <w:i/>
                    <w:sz w:val="24"/>
                    <w:szCs w:val="24"/>
                  </w:rPr>
                </m:ctrlPr>
              </m:lim>
            </m:limUpp>
            <m:ctrlPr>
              <w:rPr>
                <w:rFonts w:ascii="Cambria Math" w:hAnsi="Cambria Math"/>
                <w:i/>
                <w:sz w:val="24"/>
                <w:szCs w:val="24"/>
              </w:rPr>
            </m:ctrlPr>
          </m:e>
          <m:lim>
            <m:r>
              <m:rPr/>
              <w:rPr>
                <w:rFonts w:ascii="Cambria Math" w:hAnsi="Cambria Math"/>
                <w:sz w:val="24"/>
                <w:szCs w:val="24"/>
              </w:rPr>
              <m:t>i=1</m:t>
            </m:r>
            <m:ctrlPr>
              <w:rPr>
                <w:rFonts w:ascii="Cambria Math" w:hAnsi="Cambria Math"/>
                <w:i/>
                <w:sz w:val="24"/>
                <w:szCs w:val="24"/>
              </w:rPr>
            </m:ctrlPr>
          </m:lim>
        </m:limLow>
        <m:r>
          <m:rPr/>
          <w:rPr>
            <w:rFonts w:ascii="Cambria Math" w:hAnsi="Cambria Math"/>
          </w:rPr>
          <m:t>5</m:t>
        </m:r>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vertAlign w:val="subscript"/>
              </w:rPr>
              <m:t>i</m:t>
            </m:r>
            <m:ctrlPr>
              <w:rPr>
                <w:rFonts w:ascii="Cambria Math" w:hAnsi="Cambria Math"/>
                <w:i/>
              </w:rPr>
            </m:ctrlPr>
          </m:sub>
        </m:sSub>
      </m:oMath>
      <w:r>
        <w:rPr>
          <w:rFonts w:hint="eastAsia" w:ascii="微软雅黑" w:hAnsi="微软雅黑" w:eastAsia="微软雅黑"/>
        </w:rPr>
        <w:tab/>
      </w:r>
      <w:r>
        <w:t>(I.</w:t>
      </w:r>
      <w:r>
        <w:rPr>
          <w:rFonts w:hint="eastAsia"/>
        </w:rPr>
        <w:t>11</w:t>
      </w:r>
      <w:r>
        <w:t>)</w:t>
      </w:r>
    </w:p>
    <w:p w14:paraId="38218A14">
      <w:pPr>
        <w:pStyle w:val="57"/>
        <w:ind w:firstLine="420"/>
      </w:pPr>
      <w:r>
        <w:rPr>
          <w:rFonts w:hint="eastAsia"/>
        </w:rPr>
        <w:t>式中：</w:t>
      </w:r>
    </w:p>
    <w:p w14:paraId="7C9A417E">
      <w:pPr>
        <w:spacing w:line="300" w:lineRule="auto"/>
        <w:ind w:firstLine="420" w:firstLineChars="200"/>
        <w:rPr>
          <w:rFonts w:ascii="Times New Roman" w:hAnsi="Times New Roman"/>
          <w:i/>
        </w:rPr>
      </w:pPr>
      <w:r>
        <w:rPr>
          <w:rFonts w:ascii="Times New Roman" w:hAnsi="Times New Roman"/>
          <w:iCs/>
        </w:rPr>
        <w:t>θ</w:t>
      </w:r>
      <w:r>
        <w:rPr>
          <w:rFonts w:ascii="Times New Roman" w:hAnsi="Times New Roman"/>
          <w:iCs/>
          <w:vertAlign w:val="subscript"/>
        </w:rPr>
        <w:t xml:space="preserve">i   </w:t>
      </w:r>
      <w:r>
        <w:rPr>
          <w:rFonts w:ascii="Times New Roman" w:hAnsi="Times New Roman"/>
        </w:rPr>
        <w:t>——</w:t>
      </w:r>
      <w:r>
        <w:rPr>
          <w:rFonts w:hint="eastAsia" w:ascii="Times New Roman" w:hAnsi="Times New Roman"/>
        </w:rPr>
        <w:t>地面塌陷诱发因素的</w:t>
      </w:r>
      <w:r>
        <w:rPr>
          <w:rFonts w:ascii="Times New Roman" w:hAnsi="Times New Roman"/>
          <w:i/>
        </w:rPr>
        <w:t>i</w:t>
      </w:r>
      <w:r>
        <w:rPr>
          <w:rFonts w:hint="eastAsia" w:ascii="Times New Roman" w:hAnsi="Times New Roman"/>
        </w:rPr>
        <w:t>类指标分值；</w:t>
      </w:r>
    </w:p>
    <w:p w14:paraId="44CF8AD0">
      <w:pPr>
        <w:spacing w:line="300" w:lineRule="auto"/>
        <w:ind w:firstLine="420" w:firstLineChars="200"/>
        <w:rPr>
          <w:rFonts w:ascii="Times New Roman" w:hAnsi="Times New Roman"/>
        </w:rPr>
      </w:pPr>
      <w:r>
        <w:rPr>
          <w:rFonts w:ascii="Times New Roman" w:hAnsi="Times New Roman"/>
          <w:iCs/>
        </w:rPr>
        <w:t>η</w:t>
      </w:r>
      <w:r>
        <w:rPr>
          <w:rFonts w:ascii="Times New Roman" w:hAnsi="Times New Roman"/>
          <w:iCs/>
          <w:vertAlign w:val="subscript"/>
        </w:rPr>
        <w:t xml:space="preserve">i   </w:t>
      </w:r>
      <w:r>
        <w:rPr>
          <w:rFonts w:ascii="Times New Roman" w:hAnsi="Times New Roman"/>
        </w:rPr>
        <w:t>——</w:t>
      </w:r>
      <w:r>
        <w:rPr>
          <w:rFonts w:hint="eastAsia" w:ascii="Times New Roman" w:hAnsi="Times New Roman"/>
        </w:rPr>
        <w:t>指标权重，根据地面</w:t>
      </w:r>
      <w:r>
        <w:rPr>
          <w:rFonts w:ascii="Times New Roman" w:hAnsi="Times New Roman"/>
        </w:rPr>
        <w:t>塌陷</w:t>
      </w:r>
      <w:r>
        <w:rPr>
          <w:rFonts w:hint="eastAsia" w:ascii="Times New Roman" w:hAnsi="Times New Roman"/>
        </w:rPr>
        <w:t>发育特征和孕灾条件综合确定</w:t>
      </w:r>
      <w:r>
        <w:rPr>
          <w:rFonts w:ascii="Times New Roman" w:hAnsi="Times New Roman"/>
        </w:rPr>
        <w:t>;</w:t>
      </w:r>
    </w:p>
    <w:p w14:paraId="690D3A22">
      <w:pPr>
        <w:spacing w:line="300" w:lineRule="auto"/>
        <w:ind w:firstLine="420" w:firstLineChars="200"/>
        <w:rPr>
          <w:rFonts w:ascii="Times New Roman" w:hAnsi="Times New Roman"/>
          <w:lang w:val="en-GB"/>
        </w:rPr>
      </w:pPr>
      <w:r>
        <w:rPr>
          <w:rFonts w:ascii="Times New Roman" w:hAnsi="Times New Roman"/>
          <w:i/>
        </w:rPr>
        <w:t xml:space="preserve">n   </w:t>
      </w:r>
      <w:r>
        <w:rPr>
          <w:rFonts w:ascii="Times New Roman" w:hAnsi="Times New Roman"/>
        </w:rPr>
        <w:t>——</w:t>
      </w:r>
      <w:r>
        <w:rPr>
          <w:rFonts w:hint="eastAsia" w:ascii="Times New Roman" w:hAnsi="Times New Roman"/>
        </w:rPr>
        <w:t>评价指标</w:t>
      </w:r>
      <w:r>
        <w:rPr>
          <w:rFonts w:hint="eastAsia" w:ascii="Times New Roman" w:hAnsi="Times New Roman"/>
          <w:lang w:val="en-GB"/>
        </w:rPr>
        <w:t>项数。</w:t>
      </w:r>
    </w:p>
    <w:p w14:paraId="3F210C05">
      <w:pPr>
        <w:pStyle w:val="79"/>
        <w:spacing w:before="156" w:after="156"/>
      </w:pPr>
      <w:r>
        <w:rPr>
          <w:rFonts w:hint="eastAsia"/>
        </w:rPr>
        <w:t>地面塌陷诱发因素取指参考表</w:t>
      </w:r>
    </w:p>
    <w:tbl>
      <w:tblPr>
        <w:tblStyle w:val="29"/>
        <w:tblW w:w="501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607"/>
        <w:gridCol w:w="2572"/>
        <w:gridCol w:w="2728"/>
        <w:gridCol w:w="2501"/>
      </w:tblGrid>
      <w:tr w14:paraId="28C510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854" w:type="pct"/>
            <w:vMerge w:val="restart"/>
            <w:tcBorders>
              <w:top w:val="single" w:color="auto" w:sz="8" w:space="0"/>
            </w:tcBorders>
            <w:vAlign w:val="center"/>
          </w:tcPr>
          <w:p w14:paraId="1BD7C0D7">
            <w:pPr>
              <w:pStyle w:val="180"/>
              <w:rPr>
                <w:rFonts w:hAnsi="宋体"/>
              </w:rPr>
            </w:pPr>
            <w:r>
              <w:rPr>
                <w:rFonts w:hint="eastAsia" w:hAnsi="宋体"/>
              </w:rPr>
              <w:t>项号</w:t>
            </w:r>
          </w:p>
        </w:tc>
        <w:tc>
          <w:tcPr>
            <w:tcW w:w="1367" w:type="pct"/>
            <w:vMerge w:val="restart"/>
            <w:tcBorders>
              <w:top w:val="single" w:color="auto" w:sz="8" w:space="0"/>
            </w:tcBorders>
            <w:shd w:val="clear" w:color="auto" w:fill="auto"/>
            <w:vAlign w:val="center"/>
          </w:tcPr>
          <w:p w14:paraId="3F0DBD1D">
            <w:pPr>
              <w:pStyle w:val="180"/>
              <w:rPr>
                <w:rFonts w:hAnsi="宋体"/>
              </w:rPr>
            </w:pPr>
            <w:r>
              <w:rPr>
                <w:rFonts w:hint="eastAsia" w:hAnsi="宋体"/>
              </w:rPr>
              <w:t>指标</w:t>
            </w:r>
          </w:p>
        </w:tc>
        <w:tc>
          <w:tcPr>
            <w:tcW w:w="2779" w:type="pct"/>
            <w:gridSpan w:val="2"/>
            <w:tcBorders>
              <w:top w:val="single" w:color="auto" w:sz="8" w:space="0"/>
              <w:bottom w:val="single" w:color="auto" w:sz="8" w:space="0"/>
            </w:tcBorders>
            <w:shd w:val="clear" w:color="auto" w:fill="auto"/>
            <w:vAlign w:val="center"/>
          </w:tcPr>
          <w:p w14:paraId="0D1CE68B">
            <w:pPr>
              <w:pStyle w:val="180"/>
              <w:rPr>
                <w:rFonts w:hAnsi="宋体"/>
              </w:rPr>
            </w:pPr>
            <w:r>
              <w:rPr>
                <w:rFonts w:hAnsi="宋体"/>
                <w:szCs w:val="18"/>
              </w:rPr>
              <w:t>指标</w:t>
            </w:r>
            <w:r>
              <w:rPr>
                <w:rFonts w:hint="eastAsia" w:hAnsi="宋体"/>
                <w:szCs w:val="18"/>
              </w:rPr>
              <w:t>分级取值</w:t>
            </w:r>
            <w:r>
              <w:rPr>
                <w:rFonts w:ascii="Times New Roman"/>
                <w:iCs/>
              </w:rPr>
              <w:t>θ</w:t>
            </w:r>
          </w:p>
        </w:tc>
      </w:tr>
      <w:tr w14:paraId="01D64B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tcPr>
          <w:p w14:paraId="2B0E4CF6">
            <w:pPr>
              <w:pStyle w:val="180"/>
              <w:rPr>
                <w:rFonts w:hAnsi="宋体"/>
              </w:rPr>
            </w:pPr>
          </w:p>
        </w:tc>
        <w:tc>
          <w:tcPr>
            <w:tcW w:w="1367" w:type="pct"/>
            <w:vMerge w:val="continue"/>
            <w:shd w:val="clear" w:color="auto" w:fill="auto"/>
            <w:vAlign w:val="center"/>
          </w:tcPr>
          <w:p w14:paraId="5EAB32B0">
            <w:pPr>
              <w:pStyle w:val="180"/>
              <w:rPr>
                <w:rFonts w:hAnsi="宋体"/>
              </w:rPr>
            </w:pPr>
          </w:p>
        </w:tc>
        <w:tc>
          <w:tcPr>
            <w:tcW w:w="1450" w:type="pct"/>
            <w:tcBorders>
              <w:top w:val="single" w:color="auto" w:sz="8" w:space="0"/>
            </w:tcBorders>
            <w:shd w:val="clear" w:color="auto" w:fill="auto"/>
            <w:vAlign w:val="center"/>
          </w:tcPr>
          <w:p w14:paraId="68C4620D">
            <w:pPr>
              <w:pStyle w:val="180"/>
              <w:rPr>
                <w:rFonts w:hAnsi="宋体"/>
              </w:rPr>
            </w:pPr>
            <w:r>
              <w:rPr>
                <w:rFonts w:hint="eastAsia" w:hAnsi="宋体"/>
              </w:rPr>
              <w:t>分级</w:t>
            </w:r>
          </w:p>
        </w:tc>
        <w:tc>
          <w:tcPr>
            <w:tcW w:w="1329" w:type="pct"/>
            <w:tcBorders>
              <w:top w:val="single" w:color="auto" w:sz="8" w:space="0"/>
            </w:tcBorders>
            <w:shd w:val="clear" w:color="auto" w:fill="auto"/>
            <w:vAlign w:val="center"/>
          </w:tcPr>
          <w:p w14:paraId="50F27DF0">
            <w:pPr>
              <w:pStyle w:val="180"/>
              <w:rPr>
                <w:rFonts w:hAnsi="宋体"/>
              </w:rPr>
            </w:pPr>
            <w:r>
              <w:rPr>
                <w:rFonts w:hint="eastAsia" w:hAnsi="宋体"/>
                <w:szCs w:val="18"/>
              </w:rPr>
              <w:t>取值</w:t>
            </w:r>
          </w:p>
        </w:tc>
      </w:tr>
      <w:tr w14:paraId="4F5F39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restart"/>
            <w:vAlign w:val="center"/>
          </w:tcPr>
          <w:p w14:paraId="152071D4">
            <w:pPr>
              <w:spacing w:line="240" w:lineRule="auto"/>
              <w:jc w:val="center"/>
              <w:rPr>
                <w:rFonts w:ascii="宋体" w:hAnsi="宋体"/>
                <w:sz w:val="18"/>
                <w:szCs w:val="18"/>
              </w:rPr>
            </w:pPr>
            <w:r>
              <w:rPr>
                <w:rFonts w:hint="eastAsia" w:ascii="宋体" w:hAnsi="宋体"/>
                <w:sz w:val="18"/>
                <w:szCs w:val="18"/>
              </w:rPr>
              <w:t>1</w:t>
            </w:r>
          </w:p>
        </w:tc>
        <w:tc>
          <w:tcPr>
            <w:tcW w:w="1367" w:type="pct"/>
            <w:vMerge w:val="restart"/>
            <w:shd w:val="clear" w:color="auto" w:fill="auto"/>
            <w:vAlign w:val="center"/>
          </w:tcPr>
          <w:p w14:paraId="18BB7BAE">
            <w:pPr>
              <w:spacing w:line="240" w:lineRule="auto"/>
              <w:jc w:val="center"/>
              <w:rPr>
                <w:rFonts w:ascii="宋体" w:hAnsi="宋体"/>
                <w:kern w:val="0"/>
              </w:rPr>
            </w:pPr>
            <w:r>
              <w:rPr>
                <w:rFonts w:hint="eastAsia" w:ascii="宋体" w:hAnsi="宋体"/>
                <w:sz w:val="18"/>
                <w:szCs w:val="18"/>
              </w:rPr>
              <w:t>地下水</w:t>
            </w:r>
            <w:r>
              <w:rPr>
                <w:rFonts w:ascii="宋体" w:hAnsi="宋体"/>
                <w:sz w:val="18"/>
                <w:szCs w:val="18"/>
              </w:rPr>
              <w:t>变化幅度（m/a）</w:t>
            </w:r>
          </w:p>
        </w:tc>
        <w:tc>
          <w:tcPr>
            <w:tcW w:w="1450" w:type="pct"/>
            <w:shd w:val="clear" w:color="auto" w:fill="auto"/>
            <w:vAlign w:val="center"/>
          </w:tcPr>
          <w:p w14:paraId="6B848C63">
            <w:pPr>
              <w:pStyle w:val="180"/>
              <w:rPr>
                <w:rFonts w:hAnsi="宋体"/>
              </w:rPr>
            </w:pPr>
            <w:r>
              <w:rPr>
                <w:rFonts w:hint="eastAsia" w:hAnsi="宋体" w:cs="宋体"/>
                <w:szCs w:val="18"/>
              </w:rPr>
              <w:t>≥1</w:t>
            </w:r>
            <w:r>
              <w:rPr>
                <w:rFonts w:hAnsi="宋体" w:cs="宋体"/>
                <w:szCs w:val="18"/>
              </w:rPr>
              <w:t>0</w:t>
            </w:r>
          </w:p>
        </w:tc>
        <w:tc>
          <w:tcPr>
            <w:tcW w:w="1329" w:type="pct"/>
            <w:shd w:val="clear" w:color="auto" w:fill="auto"/>
            <w:vAlign w:val="center"/>
          </w:tcPr>
          <w:p w14:paraId="570AAB6C">
            <w:pPr>
              <w:pStyle w:val="180"/>
              <w:rPr>
                <w:rFonts w:hAnsi="宋体"/>
              </w:rPr>
            </w:pPr>
            <w:r>
              <w:rPr>
                <w:rFonts w:hAnsi="宋体"/>
              </w:rPr>
              <w:t>5</w:t>
            </w:r>
          </w:p>
        </w:tc>
      </w:tr>
      <w:tr w14:paraId="341313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131AD559">
            <w:pPr>
              <w:pStyle w:val="180"/>
              <w:rPr>
                <w:rFonts w:hAnsi="宋体"/>
              </w:rPr>
            </w:pPr>
          </w:p>
        </w:tc>
        <w:tc>
          <w:tcPr>
            <w:tcW w:w="1367" w:type="pct"/>
            <w:vMerge w:val="continue"/>
            <w:shd w:val="clear" w:color="auto" w:fill="auto"/>
            <w:vAlign w:val="center"/>
          </w:tcPr>
          <w:p w14:paraId="07778616">
            <w:pPr>
              <w:pStyle w:val="180"/>
              <w:rPr>
                <w:rFonts w:hAnsi="宋体"/>
              </w:rPr>
            </w:pPr>
          </w:p>
        </w:tc>
        <w:tc>
          <w:tcPr>
            <w:tcW w:w="1450" w:type="pct"/>
            <w:shd w:val="clear" w:color="auto" w:fill="auto"/>
            <w:vAlign w:val="center"/>
          </w:tcPr>
          <w:p w14:paraId="0F5FA9CD">
            <w:pPr>
              <w:pStyle w:val="180"/>
              <w:rPr>
                <w:rFonts w:hAnsi="宋体"/>
              </w:rPr>
            </w:pPr>
            <w:r>
              <w:rPr>
                <w:rFonts w:hint="eastAsia" w:hAnsi="宋体"/>
                <w:szCs w:val="18"/>
              </w:rPr>
              <w:t>5～1</w:t>
            </w:r>
            <w:r>
              <w:rPr>
                <w:rFonts w:hAnsi="宋体"/>
                <w:szCs w:val="18"/>
              </w:rPr>
              <w:t>0</w:t>
            </w:r>
          </w:p>
        </w:tc>
        <w:tc>
          <w:tcPr>
            <w:tcW w:w="1329" w:type="pct"/>
            <w:shd w:val="clear" w:color="auto" w:fill="auto"/>
            <w:vAlign w:val="center"/>
          </w:tcPr>
          <w:p w14:paraId="6401CC9A">
            <w:pPr>
              <w:pStyle w:val="180"/>
              <w:rPr>
                <w:rFonts w:hAnsi="宋体"/>
              </w:rPr>
            </w:pPr>
            <w:r>
              <w:rPr>
                <w:rFonts w:hint="eastAsia" w:hAnsi="宋体"/>
              </w:rPr>
              <w:t>3</w:t>
            </w:r>
          </w:p>
        </w:tc>
      </w:tr>
      <w:tr w14:paraId="395157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5ADE0502">
            <w:pPr>
              <w:pStyle w:val="180"/>
              <w:rPr>
                <w:rFonts w:hAnsi="宋体"/>
              </w:rPr>
            </w:pPr>
          </w:p>
        </w:tc>
        <w:tc>
          <w:tcPr>
            <w:tcW w:w="1367" w:type="pct"/>
            <w:vMerge w:val="continue"/>
            <w:shd w:val="clear" w:color="auto" w:fill="auto"/>
            <w:vAlign w:val="center"/>
          </w:tcPr>
          <w:p w14:paraId="1272FC97">
            <w:pPr>
              <w:pStyle w:val="180"/>
              <w:rPr>
                <w:rFonts w:hAnsi="宋体"/>
              </w:rPr>
            </w:pPr>
          </w:p>
        </w:tc>
        <w:tc>
          <w:tcPr>
            <w:tcW w:w="1450" w:type="pct"/>
            <w:shd w:val="clear" w:color="auto" w:fill="auto"/>
            <w:vAlign w:val="center"/>
          </w:tcPr>
          <w:p w14:paraId="6050DEAE">
            <w:pPr>
              <w:pStyle w:val="180"/>
              <w:rPr>
                <w:rFonts w:hAnsi="宋体"/>
              </w:rPr>
            </w:pPr>
            <w:r>
              <w:rPr>
                <w:rFonts w:hint="eastAsia" w:hAnsi="宋体"/>
                <w:szCs w:val="18"/>
              </w:rPr>
              <w:t>＜</w:t>
            </w:r>
            <w:r>
              <w:rPr>
                <w:rFonts w:hAnsi="宋体"/>
                <w:szCs w:val="18"/>
              </w:rPr>
              <w:t>5</w:t>
            </w:r>
          </w:p>
        </w:tc>
        <w:tc>
          <w:tcPr>
            <w:tcW w:w="1329" w:type="pct"/>
            <w:shd w:val="clear" w:color="auto" w:fill="auto"/>
            <w:vAlign w:val="center"/>
          </w:tcPr>
          <w:p w14:paraId="197BB166">
            <w:pPr>
              <w:pStyle w:val="180"/>
              <w:rPr>
                <w:rFonts w:hAnsi="宋体"/>
              </w:rPr>
            </w:pPr>
            <w:r>
              <w:rPr>
                <w:rFonts w:hint="eastAsia" w:hAnsi="宋体"/>
              </w:rPr>
              <w:t>1</w:t>
            </w:r>
          </w:p>
        </w:tc>
      </w:tr>
      <w:tr w14:paraId="0BABBF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restart"/>
            <w:vAlign w:val="center"/>
          </w:tcPr>
          <w:p w14:paraId="008420CE">
            <w:pPr>
              <w:pStyle w:val="180"/>
              <w:rPr>
                <w:rFonts w:hAnsi="宋体"/>
              </w:rPr>
            </w:pPr>
            <w:r>
              <w:rPr>
                <w:rFonts w:hint="eastAsia" w:hAnsi="宋体"/>
              </w:rPr>
              <w:t>2</w:t>
            </w:r>
          </w:p>
        </w:tc>
        <w:tc>
          <w:tcPr>
            <w:tcW w:w="1367" w:type="pct"/>
            <w:vMerge w:val="restart"/>
            <w:shd w:val="clear" w:color="auto" w:fill="auto"/>
            <w:vAlign w:val="center"/>
          </w:tcPr>
          <w:p w14:paraId="67EB24F9">
            <w:pPr>
              <w:pStyle w:val="180"/>
              <w:rPr>
                <w:rFonts w:hAnsi="宋体"/>
              </w:rPr>
            </w:pPr>
            <w:r>
              <w:rPr>
                <w:rFonts w:hint="eastAsia" w:hAnsi="宋体"/>
              </w:rPr>
              <w:t>水力坡度（J）</w:t>
            </w:r>
          </w:p>
        </w:tc>
        <w:tc>
          <w:tcPr>
            <w:tcW w:w="1450" w:type="pct"/>
            <w:shd w:val="clear" w:color="auto" w:fill="auto"/>
            <w:vAlign w:val="center"/>
          </w:tcPr>
          <w:p w14:paraId="42F64FC1">
            <w:pPr>
              <w:pStyle w:val="180"/>
              <w:rPr>
                <w:rFonts w:hAnsi="宋体"/>
                <w:vertAlign w:val="subscript"/>
              </w:rPr>
            </w:pPr>
            <w:r>
              <w:rPr>
                <w:rFonts w:hint="eastAsia" w:hAnsi="宋体" w:cs="宋体"/>
                <w:szCs w:val="18"/>
              </w:rPr>
              <w:t>≥</w:t>
            </w:r>
            <w:r>
              <w:rPr>
                <w:rFonts w:hAnsi="宋体" w:cs="宋体"/>
                <w:szCs w:val="18"/>
              </w:rPr>
              <w:t>J</w:t>
            </w:r>
            <w:r>
              <w:rPr>
                <w:rFonts w:hAnsi="宋体" w:cs="宋体"/>
                <w:szCs w:val="18"/>
                <w:vertAlign w:val="subscript"/>
              </w:rPr>
              <w:t>0</w:t>
            </w:r>
          </w:p>
        </w:tc>
        <w:tc>
          <w:tcPr>
            <w:tcW w:w="1329" w:type="pct"/>
            <w:shd w:val="clear" w:color="auto" w:fill="auto"/>
            <w:vAlign w:val="center"/>
          </w:tcPr>
          <w:p w14:paraId="7E5E889C">
            <w:pPr>
              <w:pStyle w:val="180"/>
              <w:rPr>
                <w:rFonts w:hAnsi="宋体"/>
              </w:rPr>
            </w:pPr>
            <w:r>
              <w:rPr>
                <w:rFonts w:hAnsi="宋体"/>
              </w:rPr>
              <w:t>5</w:t>
            </w:r>
          </w:p>
        </w:tc>
      </w:tr>
      <w:tr w14:paraId="0EABAF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56D61BAD">
            <w:pPr>
              <w:pStyle w:val="180"/>
              <w:rPr>
                <w:rFonts w:hAnsi="宋体"/>
              </w:rPr>
            </w:pPr>
          </w:p>
        </w:tc>
        <w:tc>
          <w:tcPr>
            <w:tcW w:w="1367" w:type="pct"/>
            <w:vMerge w:val="continue"/>
            <w:shd w:val="clear" w:color="auto" w:fill="auto"/>
            <w:vAlign w:val="center"/>
          </w:tcPr>
          <w:p w14:paraId="6EF0929D">
            <w:pPr>
              <w:pStyle w:val="180"/>
              <w:rPr>
                <w:rFonts w:hAnsi="宋体"/>
              </w:rPr>
            </w:pPr>
          </w:p>
        </w:tc>
        <w:tc>
          <w:tcPr>
            <w:tcW w:w="1450" w:type="pct"/>
            <w:shd w:val="clear" w:color="auto" w:fill="auto"/>
            <w:vAlign w:val="center"/>
          </w:tcPr>
          <w:p w14:paraId="1E3577EA">
            <w:pPr>
              <w:pStyle w:val="180"/>
              <w:rPr>
                <w:rFonts w:hAnsi="宋体"/>
              </w:rPr>
            </w:pPr>
            <w:r>
              <w:rPr>
                <w:rFonts w:hAnsi="宋体" w:cs="宋体"/>
                <w:szCs w:val="18"/>
              </w:rPr>
              <w:t>J</w:t>
            </w:r>
            <w:r>
              <w:rPr>
                <w:rFonts w:hAnsi="宋体" w:cs="宋体"/>
                <w:szCs w:val="18"/>
                <w:vertAlign w:val="subscript"/>
              </w:rPr>
              <w:t>0</w:t>
            </w:r>
            <w:r>
              <w:rPr>
                <w:rFonts w:hint="eastAsia" w:hAnsi="宋体"/>
                <w:szCs w:val="18"/>
              </w:rPr>
              <w:t>～</w:t>
            </w:r>
            <w:r>
              <w:rPr>
                <w:rFonts w:hAnsi="宋体"/>
                <w:szCs w:val="18"/>
              </w:rPr>
              <w:t>0.5</w:t>
            </w:r>
            <w:r>
              <w:rPr>
                <w:rFonts w:hAnsi="宋体" w:cs="宋体"/>
                <w:szCs w:val="18"/>
              </w:rPr>
              <w:t xml:space="preserve"> J</w:t>
            </w:r>
            <w:r>
              <w:rPr>
                <w:rFonts w:hAnsi="宋体" w:cs="宋体"/>
                <w:szCs w:val="18"/>
                <w:vertAlign w:val="subscript"/>
              </w:rPr>
              <w:t>0</w:t>
            </w:r>
          </w:p>
        </w:tc>
        <w:tc>
          <w:tcPr>
            <w:tcW w:w="1329" w:type="pct"/>
            <w:shd w:val="clear" w:color="auto" w:fill="auto"/>
            <w:vAlign w:val="center"/>
          </w:tcPr>
          <w:p w14:paraId="04460E9F">
            <w:pPr>
              <w:pStyle w:val="180"/>
              <w:rPr>
                <w:rFonts w:hAnsi="宋体"/>
              </w:rPr>
            </w:pPr>
            <w:r>
              <w:rPr>
                <w:rFonts w:hint="eastAsia" w:hAnsi="宋体"/>
              </w:rPr>
              <w:t>3</w:t>
            </w:r>
          </w:p>
        </w:tc>
      </w:tr>
      <w:tr w14:paraId="7C962E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6B7C3F25">
            <w:pPr>
              <w:pStyle w:val="180"/>
              <w:rPr>
                <w:rFonts w:hAnsi="宋体"/>
              </w:rPr>
            </w:pPr>
          </w:p>
        </w:tc>
        <w:tc>
          <w:tcPr>
            <w:tcW w:w="1367" w:type="pct"/>
            <w:vMerge w:val="continue"/>
            <w:shd w:val="clear" w:color="auto" w:fill="auto"/>
            <w:vAlign w:val="center"/>
          </w:tcPr>
          <w:p w14:paraId="188F61FC">
            <w:pPr>
              <w:pStyle w:val="180"/>
              <w:rPr>
                <w:rFonts w:hAnsi="宋体"/>
              </w:rPr>
            </w:pPr>
          </w:p>
        </w:tc>
        <w:tc>
          <w:tcPr>
            <w:tcW w:w="1450" w:type="pct"/>
            <w:shd w:val="clear" w:color="auto" w:fill="auto"/>
            <w:vAlign w:val="center"/>
          </w:tcPr>
          <w:p w14:paraId="4FAEB79E">
            <w:pPr>
              <w:pStyle w:val="180"/>
              <w:rPr>
                <w:rFonts w:hAnsi="宋体"/>
              </w:rPr>
            </w:pPr>
            <w:r>
              <w:rPr>
                <w:rFonts w:hint="eastAsia" w:hAnsi="宋体"/>
                <w:szCs w:val="18"/>
              </w:rPr>
              <w:t>＜</w:t>
            </w:r>
            <w:r>
              <w:rPr>
                <w:rFonts w:hAnsi="宋体"/>
                <w:szCs w:val="18"/>
              </w:rPr>
              <w:t>0.5</w:t>
            </w:r>
            <w:r>
              <w:rPr>
                <w:rFonts w:hAnsi="宋体" w:cs="宋体"/>
                <w:szCs w:val="18"/>
              </w:rPr>
              <w:t xml:space="preserve"> J</w:t>
            </w:r>
            <w:r>
              <w:rPr>
                <w:rFonts w:hAnsi="宋体" w:cs="宋体"/>
                <w:szCs w:val="18"/>
                <w:vertAlign w:val="subscript"/>
              </w:rPr>
              <w:t>0</w:t>
            </w:r>
          </w:p>
        </w:tc>
        <w:tc>
          <w:tcPr>
            <w:tcW w:w="1329" w:type="pct"/>
            <w:shd w:val="clear" w:color="auto" w:fill="auto"/>
            <w:vAlign w:val="center"/>
          </w:tcPr>
          <w:p w14:paraId="7CC715A4">
            <w:pPr>
              <w:pStyle w:val="180"/>
              <w:rPr>
                <w:rFonts w:hAnsi="宋体"/>
              </w:rPr>
            </w:pPr>
            <w:r>
              <w:rPr>
                <w:rFonts w:hint="eastAsia" w:hAnsi="宋体"/>
              </w:rPr>
              <w:t>1</w:t>
            </w:r>
          </w:p>
        </w:tc>
      </w:tr>
      <w:tr w14:paraId="62B05F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restart"/>
            <w:vAlign w:val="center"/>
          </w:tcPr>
          <w:p w14:paraId="287C7987">
            <w:pPr>
              <w:pStyle w:val="180"/>
              <w:rPr>
                <w:rFonts w:hAnsi="宋体"/>
              </w:rPr>
            </w:pPr>
            <w:r>
              <w:rPr>
                <w:rFonts w:hint="eastAsia" w:hAnsi="宋体"/>
              </w:rPr>
              <w:t>3</w:t>
            </w:r>
          </w:p>
        </w:tc>
        <w:tc>
          <w:tcPr>
            <w:tcW w:w="1367" w:type="pct"/>
            <w:vMerge w:val="restart"/>
            <w:shd w:val="clear" w:color="auto" w:fill="auto"/>
            <w:vAlign w:val="center"/>
          </w:tcPr>
          <w:p w14:paraId="4A4EF341">
            <w:pPr>
              <w:pStyle w:val="180"/>
              <w:rPr>
                <w:rFonts w:hAnsi="宋体"/>
              </w:rPr>
            </w:pPr>
            <w:r>
              <w:rPr>
                <w:rFonts w:hAnsi="宋体"/>
              </w:rPr>
              <w:t>岩溶水承压性</w:t>
            </w:r>
          </w:p>
        </w:tc>
        <w:tc>
          <w:tcPr>
            <w:tcW w:w="1450" w:type="pct"/>
            <w:shd w:val="clear" w:color="auto" w:fill="auto"/>
            <w:vAlign w:val="center"/>
          </w:tcPr>
          <w:p w14:paraId="51D6DBD4">
            <w:pPr>
              <w:pStyle w:val="180"/>
              <w:rPr>
                <w:rFonts w:hAnsi="宋体"/>
              </w:rPr>
            </w:pPr>
            <w:r>
              <w:rPr>
                <w:rFonts w:hAnsi="宋体"/>
              </w:rPr>
              <w:t>在基岩面上下反复波动</w:t>
            </w:r>
          </w:p>
        </w:tc>
        <w:tc>
          <w:tcPr>
            <w:tcW w:w="1329" w:type="pct"/>
            <w:shd w:val="clear" w:color="auto" w:fill="auto"/>
            <w:vAlign w:val="center"/>
          </w:tcPr>
          <w:p w14:paraId="3ABC3E57">
            <w:pPr>
              <w:pStyle w:val="180"/>
              <w:rPr>
                <w:rFonts w:hAnsi="宋体"/>
              </w:rPr>
            </w:pPr>
            <w:r>
              <w:rPr>
                <w:rFonts w:hAnsi="宋体"/>
              </w:rPr>
              <w:t>5</w:t>
            </w:r>
          </w:p>
        </w:tc>
      </w:tr>
      <w:tr w14:paraId="6A1194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23573CC5">
            <w:pPr>
              <w:pStyle w:val="180"/>
              <w:rPr>
                <w:rFonts w:hAnsi="宋体"/>
              </w:rPr>
            </w:pPr>
          </w:p>
        </w:tc>
        <w:tc>
          <w:tcPr>
            <w:tcW w:w="1367" w:type="pct"/>
            <w:vMerge w:val="continue"/>
            <w:shd w:val="clear" w:color="auto" w:fill="auto"/>
            <w:vAlign w:val="center"/>
          </w:tcPr>
          <w:p w14:paraId="64C3257C">
            <w:pPr>
              <w:pStyle w:val="180"/>
              <w:rPr>
                <w:rFonts w:hAnsi="宋体"/>
              </w:rPr>
            </w:pPr>
          </w:p>
        </w:tc>
        <w:tc>
          <w:tcPr>
            <w:tcW w:w="1450" w:type="pct"/>
            <w:shd w:val="clear" w:color="auto" w:fill="auto"/>
            <w:vAlign w:val="center"/>
          </w:tcPr>
          <w:p w14:paraId="2D81F0AC">
            <w:pPr>
              <w:pStyle w:val="180"/>
              <w:rPr>
                <w:rFonts w:hAnsi="宋体"/>
              </w:rPr>
            </w:pPr>
            <w:r>
              <w:rPr>
                <w:rFonts w:hAnsi="宋体"/>
              </w:rPr>
              <w:t>在基岩面</w:t>
            </w:r>
            <w:r>
              <w:rPr>
                <w:rFonts w:hint="eastAsia" w:hAnsi="宋体"/>
              </w:rPr>
              <w:t>以下</w:t>
            </w:r>
            <w:r>
              <w:rPr>
                <w:rFonts w:hAnsi="宋体"/>
              </w:rPr>
              <w:t>波动</w:t>
            </w:r>
          </w:p>
        </w:tc>
        <w:tc>
          <w:tcPr>
            <w:tcW w:w="1329" w:type="pct"/>
            <w:shd w:val="clear" w:color="auto" w:fill="auto"/>
            <w:vAlign w:val="center"/>
          </w:tcPr>
          <w:p w14:paraId="6CFABC2A">
            <w:pPr>
              <w:pStyle w:val="180"/>
              <w:rPr>
                <w:rFonts w:hAnsi="宋体"/>
              </w:rPr>
            </w:pPr>
            <w:r>
              <w:rPr>
                <w:rFonts w:hint="eastAsia" w:hAnsi="宋体"/>
              </w:rPr>
              <w:t>3</w:t>
            </w:r>
          </w:p>
        </w:tc>
      </w:tr>
      <w:tr w14:paraId="2A86BE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3F7F2087">
            <w:pPr>
              <w:pStyle w:val="180"/>
              <w:rPr>
                <w:rFonts w:hAnsi="宋体"/>
              </w:rPr>
            </w:pPr>
          </w:p>
        </w:tc>
        <w:tc>
          <w:tcPr>
            <w:tcW w:w="1367" w:type="pct"/>
            <w:vMerge w:val="continue"/>
            <w:shd w:val="clear" w:color="auto" w:fill="auto"/>
            <w:vAlign w:val="center"/>
          </w:tcPr>
          <w:p w14:paraId="0B0FBE8D">
            <w:pPr>
              <w:pStyle w:val="180"/>
              <w:rPr>
                <w:rFonts w:hAnsi="宋体"/>
              </w:rPr>
            </w:pPr>
          </w:p>
        </w:tc>
        <w:tc>
          <w:tcPr>
            <w:tcW w:w="1450" w:type="pct"/>
            <w:shd w:val="clear" w:color="auto" w:fill="auto"/>
            <w:vAlign w:val="center"/>
          </w:tcPr>
          <w:p w14:paraId="760DE316">
            <w:pPr>
              <w:pStyle w:val="180"/>
              <w:rPr>
                <w:rFonts w:hAnsi="宋体"/>
              </w:rPr>
            </w:pPr>
            <w:r>
              <w:rPr>
                <w:rFonts w:hAnsi="宋体"/>
              </w:rPr>
              <w:t>在基岩面</w:t>
            </w:r>
            <w:r>
              <w:rPr>
                <w:rFonts w:hint="eastAsia" w:hAnsi="宋体"/>
              </w:rPr>
              <w:t>以上</w:t>
            </w:r>
            <w:r>
              <w:rPr>
                <w:rFonts w:hAnsi="宋体"/>
              </w:rPr>
              <w:t>波动</w:t>
            </w:r>
          </w:p>
        </w:tc>
        <w:tc>
          <w:tcPr>
            <w:tcW w:w="1329" w:type="pct"/>
            <w:shd w:val="clear" w:color="auto" w:fill="auto"/>
            <w:vAlign w:val="center"/>
          </w:tcPr>
          <w:p w14:paraId="0DCDC838">
            <w:pPr>
              <w:pStyle w:val="180"/>
              <w:rPr>
                <w:rFonts w:hAnsi="宋体"/>
              </w:rPr>
            </w:pPr>
            <w:r>
              <w:rPr>
                <w:rFonts w:hint="eastAsia" w:hAnsi="宋体"/>
              </w:rPr>
              <w:t>1</w:t>
            </w:r>
          </w:p>
        </w:tc>
      </w:tr>
      <w:tr w14:paraId="3BB888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restart"/>
            <w:vAlign w:val="center"/>
          </w:tcPr>
          <w:p w14:paraId="0E402F8D">
            <w:pPr>
              <w:pStyle w:val="180"/>
              <w:rPr>
                <w:rFonts w:hAnsi="宋体"/>
              </w:rPr>
            </w:pPr>
            <w:r>
              <w:rPr>
                <w:rFonts w:hint="eastAsia" w:hAnsi="宋体"/>
              </w:rPr>
              <w:t>4</w:t>
            </w:r>
          </w:p>
        </w:tc>
        <w:tc>
          <w:tcPr>
            <w:tcW w:w="1367" w:type="pct"/>
            <w:vMerge w:val="restart"/>
            <w:shd w:val="clear" w:color="auto" w:fill="auto"/>
            <w:vAlign w:val="center"/>
          </w:tcPr>
          <w:p w14:paraId="4F6CECF1">
            <w:pPr>
              <w:pStyle w:val="180"/>
              <w:rPr>
                <w:rFonts w:hAnsi="宋体"/>
              </w:rPr>
            </w:pPr>
            <w:r>
              <w:rPr>
                <w:rFonts w:hint="eastAsia" w:hAnsi="宋体"/>
              </w:rPr>
              <w:t>人类工程活动对地下水扰动</w:t>
            </w:r>
          </w:p>
        </w:tc>
        <w:tc>
          <w:tcPr>
            <w:tcW w:w="1450" w:type="pct"/>
            <w:shd w:val="clear" w:color="auto" w:fill="auto"/>
            <w:vAlign w:val="center"/>
          </w:tcPr>
          <w:p w14:paraId="20CAC6A6">
            <w:pPr>
              <w:pStyle w:val="180"/>
              <w:rPr>
                <w:rFonts w:hAnsi="宋体"/>
              </w:rPr>
            </w:pPr>
            <w:r>
              <w:rPr>
                <w:rFonts w:hint="eastAsia" w:hAnsi="宋体"/>
              </w:rPr>
              <w:t>强烈</w:t>
            </w:r>
          </w:p>
        </w:tc>
        <w:tc>
          <w:tcPr>
            <w:tcW w:w="1329" w:type="pct"/>
            <w:shd w:val="clear" w:color="auto" w:fill="auto"/>
            <w:vAlign w:val="center"/>
          </w:tcPr>
          <w:p w14:paraId="1E3393C4">
            <w:pPr>
              <w:pStyle w:val="180"/>
              <w:rPr>
                <w:rFonts w:hAnsi="宋体"/>
              </w:rPr>
            </w:pPr>
            <w:r>
              <w:rPr>
                <w:rFonts w:hAnsi="宋体"/>
              </w:rPr>
              <w:t>5</w:t>
            </w:r>
          </w:p>
        </w:tc>
      </w:tr>
      <w:tr w14:paraId="28A959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315160AA">
            <w:pPr>
              <w:pStyle w:val="180"/>
              <w:rPr>
                <w:rFonts w:hAnsi="宋体"/>
              </w:rPr>
            </w:pPr>
          </w:p>
        </w:tc>
        <w:tc>
          <w:tcPr>
            <w:tcW w:w="1367" w:type="pct"/>
            <w:vMerge w:val="continue"/>
            <w:shd w:val="clear" w:color="auto" w:fill="auto"/>
            <w:vAlign w:val="center"/>
          </w:tcPr>
          <w:p w14:paraId="19F6352C">
            <w:pPr>
              <w:pStyle w:val="180"/>
              <w:rPr>
                <w:rFonts w:hAnsi="宋体"/>
              </w:rPr>
            </w:pPr>
          </w:p>
        </w:tc>
        <w:tc>
          <w:tcPr>
            <w:tcW w:w="1450" w:type="pct"/>
            <w:shd w:val="clear" w:color="auto" w:fill="auto"/>
            <w:vAlign w:val="center"/>
          </w:tcPr>
          <w:p w14:paraId="1562A38A">
            <w:pPr>
              <w:pStyle w:val="180"/>
              <w:rPr>
                <w:rFonts w:hAnsi="宋体"/>
              </w:rPr>
            </w:pPr>
            <w:r>
              <w:rPr>
                <w:rFonts w:hint="eastAsia" w:hAnsi="宋体"/>
              </w:rPr>
              <w:t>中等</w:t>
            </w:r>
          </w:p>
        </w:tc>
        <w:tc>
          <w:tcPr>
            <w:tcW w:w="1329" w:type="pct"/>
            <w:shd w:val="clear" w:color="auto" w:fill="auto"/>
            <w:vAlign w:val="center"/>
          </w:tcPr>
          <w:p w14:paraId="0428B4B6">
            <w:pPr>
              <w:pStyle w:val="180"/>
              <w:rPr>
                <w:rFonts w:hAnsi="宋体"/>
              </w:rPr>
            </w:pPr>
            <w:r>
              <w:rPr>
                <w:rFonts w:hint="eastAsia" w:hAnsi="宋体"/>
              </w:rPr>
              <w:t>3</w:t>
            </w:r>
          </w:p>
        </w:tc>
      </w:tr>
      <w:tr w14:paraId="743A29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vAlign w:val="center"/>
          </w:tcPr>
          <w:p w14:paraId="03E8A85C">
            <w:pPr>
              <w:pStyle w:val="180"/>
              <w:rPr>
                <w:rFonts w:hAnsi="宋体"/>
              </w:rPr>
            </w:pPr>
          </w:p>
        </w:tc>
        <w:tc>
          <w:tcPr>
            <w:tcW w:w="1367" w:type="pct"/>
            <w:vMerge w:val="continue"/>
            <w:shd w:val="clear" w:color="auto" w:fill="auto"/>
            <w:vAlign w:val="center"/>
          </w:tcPr>
          <w:p w14:paraId="0F8F92B0">
            <w:pPr>
              <w:pStyle w:val="180"/>
              <w:rPr>
                <w:rFonts w:hAnsi="宋体"/>
              </w:rPr>
            </w:pPr>
          </w:p>
        </w:tc>
        <w:tc>
          <w:tcPr>
            <w:tcW w:w="1450" w:type="pct"/>
            <w:shd w:val="clear" w:color="auto" w:fill="auto"/>
            <w:vAlign w:val="center"/>
          </w:tcPr>
          <w:p w14:paraId="11FB256F">
            <w:pPr>
              <w:pStyle w:val="180"/>
              <w:rPr>
                <w:rFonts w:hAnsi="宋体"/>
              </w:rPr>
            </w:pPr>
            <w:r>
              <w:rPr>
                <w:rFonts w:hint="eastAsia" w:hAnsi="宋体"/>
              </w:rPr>
              <w:t>弱</w:t>
            </w:r>
          </w:p>
        </w:tc>
        <w:tc>
          <w:tcPr>
            <w:tcW w:w="1329" w:type="pct"/>
            <w:shd w:val="clear" w:color="auto" w:fill="auto"/>
            <w:vAlign w:val="center"/>
          </w:tcPr>
          <w:p w14:paraId="6AD7CF57">
            <w:pPr>
              <w:pStyle w:val="180"/>
              <w:rPr>
                <w:rFonts w:hAnsi="宋体"/>
              </w:rPr>
            </w:pPr>
            <w:r>
              <w:rPr>
                <w:rFonts w:hint="eastAsia" w:hAnsi="宋体"/>
              </w:rPr>
              <w:t>1</w:t>
            </w:r>
          </w:p>
        </w:tc>
      </w:tr>
      <w:tr w14:paraId="51C02D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restart"/>
            <w:vAlign w:val="center"/>
          </w:tcPr>
          <w:p w14:paraId="7653245D">
            <w:pPr>
              <w:pStyle w:val="180"/>
              <w:rPr>
                <w:rFonts w:hAnsi="宋体"/>
              </w:rPr>
            </w:pPr>
            <w:r>
              <w:rPr>
                <w:rFonts w:hint="eastAsia" w:hAnsi="宋体"/>
              </w:rPr>
              <w:t>5</w:t>
            </w:r>
          </w:p>
        </w:tc>
        <w:tc>
          <w:tcPr>
            <w:tcW w:w="1367" w:type="pct"/>
            <w:vMerge w:val="restart"/>
            <w:shd w:val="clear" w:color="auto" w:fill="auto"/>
            <w:vAlign w:val="center"/>
          </w:tcPr>
          <w:p w14:paraId="6EA6FCCB">
            <w:pPr>
              <w:pStyle w:val="180"/>
              <w:rPr>
                <w:rFonts w:hAnsi="宋体"/>
              </w:rPr>
            </w:pPr>
            <w:r>
              <w:rPr>
                <w:rFonts w:hint="eastAsia" w:hAnsi="宋体"/>
              </w:rPr>
              <w:t>最大日降雨量（mm）</w:t>
            </w:r>
          </w:p>
        </w:tc>
        <w:tc>
          <w:tcPr>
            <w:tcW w:w="1450" w:type="pct"/>
            <w:shd w:val="clear" w:color="auto" w:fill="auto"/>
            <w:vAlign w:val="center"/>
          </w:tcPr>
          <w:p w14:paraId="173CDF13">
            <w:pPr>
              <w:pStyle w:val="180"/>
              <w:rPr>
                <w:rFonts w:hAnsi="宋体"/>
              </w:rPr>
            </w:pPr>
            <w:r>
              <w:rPr>
                <w:rFonts w:hint="eastAsia" w:hAnsi="宋体" w:cs="宋体"/>
                <w:szCs w:val="18"/>
              </w:rPr>
              <w:t>＞2</w:t>
            </w:r>
            <w:r>
              <w:rPr>
                <w:rFonts w:hAnsi="宋体" w:cs="宋体"/>
                <w:szCs w:val="18"/>
              </w:rPr>
              <w:t>00</w:t>
            </w:r>
          </w:p>
        </w:tc>
        <w:tc>
          <w:tcPr>
            <w:tcW w:w="1329" w:type="pct"/>
            <w:shd w:val="clear" w:color="auto" w:fill="auto"/>
            <w:vAlign w:val="center"/>
          </w:tcPr>
          <w:p w14:paraId="1546A1F7">
            <w:pPr>
              <w:pStyle w:val="180"/>
              <w:rPr>
                <w:rFonts w:hAnsi="宋体"/>
              </w:rPr>
            </w:pPr>
            <w:r>
              <w:rPr>
                <w:rFonts w:hAnsi="宋体"/>
              </w:rPr>
              <w:t>5</w:t>
            </w:r>
          </w:p>
        </w:tc>
      </w:tr>
      <w:tr w14:paraId="19B4FF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tcPr>
          <w:p w14:paraId="54AB51EB">
            <w:pPr>
              <w:pStyle w:val="180"/>
              <w:rPr>
                <w:rFonts w:hAnsi="宋体"/>
              </w:rPr>
            </w:pPr>
          </w:p>
        </w:tc>
        <w:tc>
          <w:tcPr>
            <w:tcW w:w="1367" w:type="pct"/>
            <w:vMerge w:val="continue"/>
            <w:shd w:val="clear" w:color="auto" w:fill="auto"/>
            <w:vAlign w:val="center"/>
          </w:tcPr>
          <w:p w14:paraId="4B7282C8">
            <w:pPr>
              <w:pStyle w:val="180"/>
              <w:rPr>
                <w:rFonts w:hAnsi="宋体"/>
              </w:rPr>
            </w:pPr>
          </w:p>
        </w:tc>
        <w:tc>
          <w:tcPr>
            <w:tcW w:w="1450" w:type="pct"/>
            <w:shd w:val="clear" w:color="auto" w:fill="auto"/>
            <w:vAlign w:val="center"/>
          </w:tcPr>
          <w:p w14:paraId="03100767">
            <w:pPr>
              <w:pStyle w:val="180"/>
              <w:rPr>
                <w:rFonts w:hAnsi="宋体"/>
              </w:rPr>
            </w:pPr>
            <w:r>
              <w:rPr>
                <w:rFonts w:hint="eastAsia" w:hAnsi="宋体"/>
              </w:rPr>
              <w:t>1</w:t>
            </w:r>
            <w:r>
              <w:rPr>
                <w:rFonts w:hAnsi="宋体"/>
              </w:rPr>
              <w:t>00</w:t>
            </w:r>
            <w:r>
              <w:rPr>
                <w:rFonts w:hint="eastAsia" w:hAnsi="宋体"/>
                <w:szCs w:val="18"/>
              </w:rPr>
              <w:t>～</w:t>
            </w:r>
            <w:r>
              <w:rPr>
                <w:rFonts w:hAnsi="宋体"/>
              </w:rPr>
              <w:t>200</w:t>
            </w:r>
          </w:p>
        </w:tc>
        <w:tc>
          <w:tcPr>
            <w:tcW w:w="1329" w:type="pct"/>
            <w:shd w:val="clear" w:color="auto" w:fill="auto"/>
            <w:vAlign w:val="center"/>
          </w:tcPr>
          <w:p w14:paraId="18F8BE9B">
            <w:pPr>
              <w:pStyle w:val="180"/>
              <w:rPr>
                <w:rFonts w:hAnsi="宋体"/>
              </w:rPr>
            </w:pPr>
            <w:r>
              <w:rPr>
                <w:rFonts w:hint="eastAsia" w:hAnsi="宋体"/>
              </w:rPr>
              <w:t>3</w:t>
            </w:r>
          </w:p>
        </w:tc>
      </w:tr>
      <w:tr w14:paraId="2754BC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54" w:type="pct"/>
            <w:vMerge w:val="continue"/>
          </w:tcPr>
          <w:p w14:paraId="4FA87B4B">
            <w:pPr>
              <w:pStyle w:val="180"/>
              <w:rPr>
                <w:rFonts w:hAnsi="宋体"/>
              </w:rPr>
            </w:pPr>
          </w:p>
        </w:tc>
        <w:tc>
          <w:tcPr>
            <w:tcW w:w="1367" w:type="pct"/>
            <w:vMerge w:val="continue"/>
            <w:shd w:val="clear" w:color="auto" w:fill="auto"/>
            <w:vAlign w:val="center"/>
          </w:tcPr>
          <w:p w14:paraId="0D8EDE97">
            <w:pPr>
              <w:pStyle w:val="180"/>
              <w:rPr>
                <w:rFonts w:hAnsi="宋体"/>
              </w:rPr>
            </w:pPr>
          </w:p>
        </w:tc>
        <w:tc>
          <w:tcPr>
            <w:tcW w:w="1450" w:type="pct"/>
            <w:shd w:val="clear" w:color="auto" w:fill="auto"/>
            <w:vAlign w:val="center"/>
          </w:tcPr>
          <w:p w14:paraId="3CFE0160">
            <w:pPr>
              <w:pStyle w:val="180"/>
              <w:rPr>
                <w:rFonts w:hAnsi="宋体"/>
              </w:rPr>
            </w:pPr>
            <w:r>
              <w:rPr>
                <w:rFonts w:hint="eastAsia" w:hAnsi="宋体"/>
                <w:szCs w:val="18"/>
              </w:rPr>
              <w:t>＜</w:t>
            </w:r>
            <w:r>
              <w:rPr>
                <w:rFonts w:hAnsi="宋体"/>
                <w:szCs w:val="18"/>
              </w:rPr>
              <w:t>100</w:t>
            </w:r>
          </w:p>
        </w:tc>
        <w:tc>
          <w:tcPr>
            <w:tcW w:w="1329" w:type="pct"/>
            <w:shd w:val="clear" w:color="auto" w:fill="auto"/>
            <w:vAlign w:val="center"/>
          </w:tcPr>
          <w:p w14:paraId="77879464">
            <w:pPr>
              <w:pStyle w:val="180"/>
              <w:rPr>
                <w:rFonts w:hAnsi="宋体"/>
              </w:rPr>
            </w:pPr>
            <w:r>
              <w:rPr>
                <w:rFonts w:hint="eastAsia" w:hAnsi="宋体"/>
              </w:rPr>
              <w:t>1</w:t>
            </w:r>
          </w:p>
        </w:tc>
      </w:tr>
      <w:tr w14:paraId="113F7B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000" w:type="pct"/>
            <w:gridSpan w:val="4"/>
          </w:tcPr>
          <w:p w14:paraId="705940F2">
            <w:pPr>
              <w:pStyle w:val="182"/>
              <w:numPr>
                <w:ilvl w:val="0"/>
                <w:numId w:val="60"/>
              </w:numPr>
            </w:pPr>
            <w:r>
              <w:t>J</w:t>
            </w:r>
            <w:r>
              <w:rPr>
                <w:vertAlign w:val="subscript"/>
              </w:rPr>
              <w:t>0</w:t>
            </w:r>
            <w:r>
              <w:rPr>
                <w:rFonts w:hint="eastAsia"/>
              </w:rPr>
              <w:t>为临界水力坡度；</w:t>
            </w:r>
          </w:p>
          <w:p w14:paraId="24093B95">
            <w:pPr>
              <w:pStyle w:val="182"/>
              <w:numPr>
                <w:ilvl w:val="0"/>
                <w:numId w:val="60"/>
              </w:numPr>
            </w:pPr>
            <w:r>
              <w:rPr>
                <w:rFonts w:hint="eastAsia"/>
              </w:rPr>
              <w:t>诱发因素应该包括但不限于本表所列因素。</w:t>
            </w:r>
          </w:p>
        </w:tc>
      </w:tr>
    </w:tbl>
    <w:p w14:paraId="7E8B15A3">
      <w:pPr>
        <w:pStyle w:val="81"/>
        <w:spacing w:before="156" w:after="156"/>
      </w:pPr>
      <w:bookmarkStart w:id="350" w:name="_Toc176194183"/>
      <w:bookmarkStart w:id="351" w:name="_Toc178172387"/>
      <w:r>
        <w:rPr>
          <w:rFonts w:hint="eastAsia"/>
        </w:rPr>
        <w:t>地裂缝地质灾害</w:t>
      </w:r>
      <w:bookmarkEnd w:id="350"/>
      <w:bookmarkEnd w:id="351"/>
    </w:p>
    <w:p w14:paraId="0583C8D7">
      <w:pPr>
        <w:pStyle w:val="79"/>
        <w:spacing w:before="156" w:after="156"/>
      </w:pPr>
      <w:r>
        <w:rPr>
          <w:rFonts w:hint="eastAsia"/>
        </w:rPr>
        <w:t>地裂缝危险性定性评价表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607E87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vMerge w:val="restart"/>
            <w:tcBorders>
              <w:top w:val="single" w:color="auto" w:sz="8" w:space="0"/>
            </w:tcBorders>
            <w:shd w:val="clear" w:color="auto" w:fill="auto"/>
            <w:vAlign w:val="center"/>
          </w:tcPr>
          <w:p w14:paraId="780AA82F">
            <w:pPr>
              <w:pStyle w:val="180"/>
            </w:pPr>
            <w:r>
              <w:rPr>
                <w:rFonts w:ascii="Times New Roman"/>
                <w:szCs w:val="18"/>
              </w:rPr>
              <w:t>危险性分级</w:t>
            </w:r>
          </w:p>
        </w:tc>
        <w:tc>
          <w:tcPr>
            <w:tcW w:w="7468" w:type="dxa"/>
            <w:gridSpan w:val="4"/>
            <w:tcBorders>
              <w:top w:val="single" w:color="auto" w:sz="8" w:space="0"/>
              <w:bottom w:val="single" w:color="auto" w:sz="8" w:space="0"/>
            </w:tcBorders>
            <w:shd w:val="clear" w:color="auto" w:fill="auto"/>
            <w:vAlign w:val="center"/>
          </w:tcPr>
          <w:p w14:paraId="4BE30D35">
            <w:pPr>
              <w:pStyle w:val="180"/>
            </w:pPr>
            <w:r>
              <w:rPr>
                <w:rFonts w:hint="eastAsia" w:ascii="Times New Roman"/>
                <w:szCs w:val="18"/>
              </w:rPr>
              <w:t>分级</w:t>
            </w:r>
            <w:r>
              <w:rPr>
                <w:rFonts w:ascii="Times New Roman"/>
                <w:szCs w:val="18"/>
              </w:rPr>
              <w:t>标准</w:t>
            </w:r>
          </w:p>
        </w:tc>
      </w:tr>
      <w:tr w14:paraId="6283C4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71115937">
            <w:pPr>
              <w:pStyle w:val="180"/>
            </w:pPr>
          </w:p>
        </w:tc>
        <w:tc>
          <w:tcPr>
            <w:tcW w:w="1867" w:type="dxa"/>
            <w:tcBorders>
              <w:top w:val="single" w:color="auto" w:sz="8" w:space="0"/>
            </w:tcBorders>
            <w:shd w:val="clear" w:color="auto" w:fill="auto"/>
            <w:vAlign w:val="center"/>
          </w:tcPr>
          <w:p w14:paraId="41988758">
            <w:pPr>
              <w:pStyle w:val="180"/>
            </w:pPr>
            <w:r>
              <w:rPr>
                <w:rFonts w:ascii="Times New Roman"/>
                <w:szCs w:val="18"/>
              </w:rPr>
              <w:t>活动性分级</w:t>
            </w:r>
          </w:p>
        </w:tc>
        <w:tc>
          <w:tcPr>
            <w:tcW w:w="1867" w:type="dxa"/>
            <w:tcBorders>
              <w:top w:val="single" w:color="auto" w:sz="8" w:space="0"/>
            </w:tcBorders>
            <w:shd w:val="clear" w:color="auto" w:fill="auto"/>
            <w:vAlign w:val="center"/>
          </w:tcPr>
          <w:p w14:paraId="138D1842">
            <w:pPr>
              <w:pStyle w:val="180"/>
            </w:pPr>
            <w:r>
              <w:rPr>
                <w:rFonts w:hint="eastAsia"/>
              </w:rPr>
              <w:t>易发程度</w:t>
            </w:r>
          </w:p>
        </w:tc>
        <w:tc>
          <w:tcPr>
            <w:tcW w:w="1867" w:type="dxa"/>
            <w:tcBorders>
              <w:top w:val="single" w:color="auto" w:sz="8" w:space="0"/>
            </w:tcBorders>
            <w:shd w:val="clear" w:color="auto" w:fill="auto"/>
            <w:vAlign w:val="center"/>
          </w:tcPr>
          <w:p w14:paraId="26E854ED">
            <w:pPr>
              <w:pStyle w:val="180"/>
            </w:pPr>
            <w:r>
              <w:rPr>
                <w:rFonts w:hint="eastAsia" w:ascii="Times New Roman"/>
                <w:szCs w:val="18"/>
              </w:rPr>
              <w:t>地下水位高差</w:t>
            </w:r>
          </w:p>
        </w:tc>
        <w:tc>
          <w:tcPr>
            <w:tcW w:w="1867" w:type="dxa"/>
            <w:tcBorders>
              <w:top w:val="single" w:color="auto" w:sz="8" w:space="0"/>
            </w:tcBorders>
            <w:shd w:val="clear" w:color="auto" w:fill="auto"/>
            <w:vAlign w:val="center"/>
          </w:tcPr>
          <w:p w14:paraId="3A0EBD5F">
            <w:pPr>
              <w:pStyle w:val="180"/>
            </w:pPr>
            <w:r>
              <w:rPr>
                <w:rFonts w:ascii="Times New Roman"/>
                <w:szCs w:val="18"/>
              </w:rPr>
              <w:t>地裂缝的相对位置</w:t>
            </w:r>
          </w:p>
        </w:tc>
      </w:tr>
      <w:tr w14:paraId="070023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742847AA">
            <w:pPr>
              <w:pStyle w:val="180"/>
            </w:pPr>
            <w:r>
              <w:rPr>
                <w:rFonts w:hint="eastAsia" w:ascii="Times New Roman"/>
                <w:szCs w:val="18"/>
              </w:rPr>
              <w:t>极高</w:t>
            </w:r>
            <w:r>
              <w:rPr>
                <w:rFonts w:ascii="Times New Roman"/>
                <w:szCs w:val="18"/>
              </w:rPr>
              <w:t>危险</w:t>
            </w:r>
          </w:p>
        </w:tc>
        <w:tc>
          <w:tcPr>
            <w:tcW w:w="1867" w:type="dxa"/>
            <w:vMerge w:val="restart"/>
            <w:shd w:val="clear" w:color="auto" w:fill="auto"/>
            <w:vAlign w:val="center"/>
          </w:tcPr>
          <w:p w14:paraId="48524256">
            <w:pPr>
              <w:pStyle w:val="180"/>
            </w:pPr>
            <w:r>
              <w:rPr>
                <w:rFonts w:ascii="Times New Roman"/>
                <w:szCs w:val="18"/>
              </w:rPr>
              <w:t>强烈（Ⅰ级）</w:t>
            </w:r>
          </w:p>
        </w:tc>
        <w:tc>
          <w:tcPr>
            <w:tcW w:w="1867" w:type="dxa"/>
            <w:vMerge w:val="restart"/>
            <w:shd w:val="clear" w:color="auto" w:fill="auto"/>
            <w:vAlign w:val="center"/>
          </w:tcPr>
          <w:p w14:paraId="16C7C791">
            <w:pPr>
              <w:pStyle w:val="180"/>
            </w:pPr>
            <w:r>
              <w:rPr>
                <w:rFonts w:ascii="Times New Roman"/>
                <w:szCs w:val="18"/>
              </w:rPr>
              <w:t>高易发</w:t>
            </w:r>
          </w:p>
        </w:tc>
        <w:tc>
          <w:tcPr>
            <w:tcW w:w="1867" w:type="dxa"/>
            <w:shd w:val="clear" w:color="auto" w:fill="auto"/>
            <w:vAlign w:val="center"/>
          </w:tcPr>
          <w:p w14:paraId="093FD5DA">
            <w:pPr>
              <w:pStyle w:val="180"/>
            </w:pPr>
            <w:r>
              <w:rPr>
                <w:rFonts w:hint="eastAsia" w:ascii="Times New Roman"/>
                <w:szCs w:val="18"/>
              </w:rPr>
              <w:t>高</w:t>
            </w:r>
          </w:p>
        </w:tc>
        <w:tc>
          <w:tcPr>
            <w:tcW w:w="1867" w:type="dxa"/>
            <w:shd w:val="clear" w:color="auto" w:fill="auto"/>
            <w:vAlign w:val="center"/>
          </w:tcPr>
          <w:p w14:paraId="70FBCD4E">
            <w:pPr>
              <w:pStyle w:val="180"/>
            </w:pPr>
            <w:r>
              <w:rPr>
                <w:rFonts w:ascii="Times New Roman"/>
                <w:szCs w:val="18"/>
              </w:rPr>
              <w:t>主变形区</w:t>
            </w:r>
          </w:p>
        </w:tc>
      </w:tr>
      <w:tr w14:paraId="0DE1EA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2B634F06">
            <w:pPr>
              <w:pStyle w:val="180"/>
            </w:pPr>
          </w:p>
        </w:tc>
        <w:tc>
          <w:tcPr>
            <w:tcW w:w="1867" w:type="dxa"/>
            <w:vMerge w:val="continue"/>
            <w:shd w:val="clear" w:color="auto" w:fill="auto"/>
            <w:vAlign w:val="center"/>
          </w:tcPr>
          <w:p w14:paraId="1BDB5EDE">
            <w:pPr>
              <w:pStyle w:val="180"/>
            </w:pPr>
          </w:p>
        </w:tc>
        <w:tc>
          <w:tcPr>
            <w:tcW w:w="1867" w:type="dxa"/>
            <w:vMerge w:val="continue"/>
            <w:shd w:val="clear" w:color="auto" w:fill="auto"/>
            <w:vAlign w:val="center"/>
          </w:tcPr>
          <w:p w14:paraId="49D31B47">
            <w:pPr>
              <w:pStyle w:val="180"/>
            </w:pPr>
          </w:p>
        </w:tc>
        <w:tc>
          <w:tcPr>
            <w:tcW w:w="1867" w:type="dxa"/>
            <w:shd w:val="clear" w:color="auto" w:fill="auto"/>
            <w:vAlign w:val="center"/>
          </w:tcPr>
          <w:p w14:paraId="42CA4836">
            <w:pPr>
              <w:pStyle w:val="180"/>
            </w:pPr>
            <w:r>
              <w:rPr>
                <w:rFonts w:ascii="Times New Roman"/>
                <w:szCs w:val="18"/>
              </w:rPr>
              <w:t>较高</w:t>
            </w:r>
          </w:p>
        </w:tc>
        <w:tc>
          <w:tcPr>
            <w:tcW w:w="1867" w:type="dxa"/>
            <w:shd w:val="clear" w:color="auto" w:fill="auto"/>
            <w:vAlign w:val="center"/>
          </w:tcPr>
          <w:p w14:paraId="65411C27">
            <w:pPr>
              <w:pStyle w:val="180"/>
            </w:pPr>
            <w:r>
              <w:rPr>
                <w:rFonts w:ascii="Times New Roman"/>
                <w:szCs w:val="18"/>
              </w:rPr>
              <w:t>主变形区</w:t>
            </w:r>
          </w:p>
        </w:tc>
      </w:tr>
      <w:tr w14:paraId="44D6B0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2EEECECD">
            <w:pPr>
              <w:pStyle w:val="180"/>
            </w:pPr>
          </w:p>
        </w:tc>
        <w:tc>
          <w:tcPr>
            <w:tcW w:w="1867" w:type="dxa"/>
            <w:vMerge w:val="continue"/>
            <w:shd w:val="clear" w:color="auto" w:fill="auto"/>
            <w:vAlign w:val="center"/>
          </w:tcPr>
          <w:p w14:paraId="1A806A30">
            <w:pPr>
              <w:pStyle w:val="180"/>
            </w:pPr>
          </w:p>
        </w:tc>
        <w:tc>
          <w:tcPr>
            <w:tcW w:w="1867" w:type="dxa"/>
            <w:vMerge w:val="continue"/>
            <w:shd w:val="clear" w:color="auto" w:fill="auto"/>
            <w:vAlign w:val="center"/>
          </w:tcPr>
          <w:p w14:paraId="4B767380">
            <w:pPr>
              <w:pStyle w:val="180"/>
            </w:pPr>
          </w:p>
        </w:tc>
        <w:tc>
          <w:tcPr>
            <w:tcW w:w="1867" w:type="dxa"/>
            <w:shd w:val="clear" w:color="auto" w:fill="auto"/>
            <w:vAlign w:val="center"/>
          </w:tcPr>
          <w:p w14:paraId="1A39DAF5">
            <w:pPr>
              <w:pStyle w:val="180"/>
            </w:pPr>
            <w:r>
              <w:rPr>
                <w:rFonts w:ascii="Times New Roman"/>
                <w:szCs w:val="18"/>
              </w:rPr>
              <w:t>中</w:t>
            </w:r>
            <w:r>
              <w:rPr>
                <w:rFonts w:hint="eastAsia" w:ascii="Times New Roman"/>
                <w:szCs w:val="18"/>
              </w:rPr>
              <w:t>等</w:t>
            </w:r>
          </w:p>
        </w:tc>
        <w:tc>
          <w:tcPr>
            <w:tcW w:w="1867" w:type="dxa"/>
            <w:shd w:val="clear" w:color="auto" w:fill="auto"/>
            <w:vAlign w:val="center"/>
          </w:tcPr>
          <w:p w14:paraId="38919A3C">
            <w:pPr>
              <w:pStyle w:val="180"/>
            </w:pPr>
            <w:r>
              <w:rPr>
                <w:rFonts w:ascii="Times New Roman"/>
                <w:szCs w:val="18"/>
              </w:rPr>
              <w:t>主、次变形区</w:t>
            </w:r>
          </w:p>
        </w:tc>
      </w:tr>
      <w:tr w14:paraId="187414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7B33CFBA">
            <w:pPr>
              <w:pStyle w:val="180"/>
            </w:pPr>
          </w:p>
        </w:tc>
        <w:tc>
          <w:tcPr>
            <w:tcW w:w="1867" w:type="dxa"/>
            <w:vMerge w:val="restart"/>
            <w:shd w:val="clear" w:color="auto" w:fill="auto"/>
            <w:vAlign w:val="center"/>
          </w:tcPr>
          <w:p w14:paraId="0DB4FBEC">
            <w:pPr>
              <w:pStyle w:val="180"/>
            </w:pPr>
            <w:r>
              <w:rPr>
                <w:rFonts w:ascii="Times New Roman"/>
                <w:szCs w:val="18"/>
              </w:rPr>
              <w:t>较强烈（Ⅱ级）</w:t>
            </w:r>
          </w:p>
        </w:tc>
        <w:tc>
          <w:tcPr>
            <w:tcW w:w="1867" w:type="dxa"/>
            <w:vMerge w:val="restart"/>
            <w:shd w:val="clear" w:color="auto" w:fill="auto"/>
            <w:vAlign w:val="center"/>
          </w:tcPr>
          <w:p w14:paraId="73314F31">
            <w:pPr>
              <w:pStyle w:val="180"/>
            </w:pPr>
            <w:r>
              <w:rPr>
                <w:rFonts w:hint="eastAsia"/>
              </w:rPr>
              <w:t>中易发</w:t>
            </w:r>
          </w:p>
        </w:tc>
        <w:tc>
          <w:tcPr>
            <w:tcW w:w="1867" w:type="dxa"/>
            <w:shd w:val="clear" w:color="auto" w:fill="auto"/>
            <w:vAlign w:val="center"/>
          </w:tcPr>
          <w:p w14:paraId="45B80F6D">
            <w:pPr>
              <w:pStyle w:val="180"/>
            </w:pPr>
            <w:r>
              <w:rPr>
                <w:rFonts w:hint="eastAsia" w:ascii="Times New Roman"/>
                <w:szCs w:val="18"/>
              </w:rPr>
              <w:t>高</w:t>
            </w:r>
          </w:p>
        </w:tc>
        <w:tc>
          <w:tcPr>
            <w:tcW w:w="1867" w:type="dxa"/>
            <w:shd w:val="clear" w:color="auto" w:fill="auto"/>
            <w:vAlign w:val="center"/>
          </w:tcPr>
          <w:p w14:paraId="41348F8E">
            <w:pPr>
              <w:pStyle w:val="180"/>
            </w:pPr>
            <w:r>
              <w:rPr>
                <w:rFonts w:ascii="Times New Roman"/>
                <w:szCs w:val="18"/>
              </w:rPr>
              <w:t>主变形区</w:t>
            </w:r>
          </w:p>
        </w:tc>
      </w:tr>
      <w:tr w14:paraId="35F3D8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38548A5D">
            <w:pPr>
              <w:pStyle w:val="180"/>
            </w:pPr>
          </w:p>
        </w:tc>
        <w:tc>
          <w:tcPr>
            <w:tcW w:w="1867" w:type="dxa"/>
            <w:vMerge w:val="continue"/>
            <w:shd w:val="clear" w:color="auto" w:fill="auto"/>
            <w:vAlign w:val="center"/>
          </w:tcPr>
          <w:p w14:paraId="1E4CF4B1">
            <w:pPr>
              <w:pStyle w:val="180"/>
            </w:pPr>
          </w:p>
        </w:tc>
        <w:tc>
          <w:tcPr>
            <w:tcW w:w="1867" w:type="dxa"/>
            <w:vMerge w:val="continue"/>
            <w:shd w:val="clear" w:color="auto" w:fill="auto"/>
            <w:vAlign w:val="center"/>
          </w:tcPr>
          <w:p w14:paraId="0953FB27">
            <w:pPr>
              <w:pStyle w:val="180"/>
            </w:pPr>
          </w:p>
        </w:tc>
        <w:tc>
          <w:tcPr>
            <w:tcW w:w="1867" w:type="dxa"/>
            <w:shd w:val="clear" w:color="auto" w:fill="auto"/>
            <w:vAlign w:val="center"/>
          </w:tcPr>
          <w:p w14:paraId="75D6BA44">
            <w:pPr>
              <w:pStyle w:val="180"/>
            </w:pPr>
            <w:r>
              <w:rPr>
                <w:rFonts w:ascii="Times New Roman"/>
                <w:szCs w:val="18"/>
              </w:rPr>
              <w:t>较高</w:t>
            </w:r>
          </w:p>
        </w:tc>
        <w:tc>
          <w:tcPr>
            <w:tcW w:w="1867" w:type="dxa"/>
            <w:shd w:val="clear" w:color="auto" w:fill="auto"/>
            <w:vAlign w:val="center"/>
          </w:tcPr>
          <w:p w14:paraId="49B4BE42">
            <w:pPr>
              <w:pStyle w:val="180"/>
            </w:pPr>
            <w:r>
              <w:rPr>
                <w:rFonts w:ascii="Times New Roman"/>
                <w:szCs w:val="18"/>
              </w:rPr>
              <w:t>主变形区</w:t>
            </w:r>
          </w:p>
        </w:tc>
      </w:tr>
      <w:tr w14:paraId="1732AC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66B417AD">
            <w:pPr>
              <w:pStyle w:val="180"/>
            </w:pPr>
            <w:r>
              <w:rPr>
                <w:rFonts w:hint="eastAsia" w:ascii="Times New Roman"/>
                <w:szCs w:val="18"/>
              </w:rPr>
              <w:t>高</w:t>
            </w:r>
            <w:r>
              <w:rPr>
                <w:rFonts w:ascii="Times New Roman"/>
                <w:szCs w:val="18"/>
              </w:rPr>
              <w:t>危险</w:t>
            </w:r>
          </w:p>
        </w:tc>
        <w:tc>
          <w:tcPr>
            <w:tcW w:w="1867" w:type="dxa"/>
            <w:vMerge w:val="restart"/>
            <w:shd w:val="clear" w:color="auto" w:fill="auto"/>
            <w:vAlign w:val="center"/>
          </w:tcPr>
          <w:p w14:paraId="25FD4774">
            <w:pPr>
              <w:pStyle w:val="180"/>
            </w:pPr>
            <w:r>
              <w:rPr>
                <w:rFonts w:ascii="Times New Roman"/>
                <w:szCs w:val="18"/>
              </w:rPr>
              <w:t>强烈（Ⅰ级）</w:t>
            </w:r>
          </w:p>
        </w:tc>
        <w:tc>
          <w:tcPr>
            <w:tcW w:w="1867" w:type="dxa"/>
            <w:vMerge w:val="restart"/>
            <w:shd w:val="clear" w:color="auto" w:fill="auto"/>
            <w:vAlign w:val="center"/>
          </w:tcPr>
          <w:p w14:paraId="00AAED6F">
            <w:pPr>
              <w:pStyle w:val="180"/>
            </w:pPr>
            <w:r>
              <w:rPr>
                <w:rFonts w:hint="eastAsia"/>
              </w:rPr>
              <w:t>高易发</w:t>
            </w:r>
          </w:p>
        </w:tc>
        <w:tc>
          <w:tcPr>
            <w:tcW w:w="1867" w:type="dxa"/>
            <w:shd w:val="clear" w:color="auto" w:fill="auto"/>
            <w:vAlign w:val="center"/>
          </w:tcPr>
          <w:p w14:paraId="386368F5">
            <w:pPr>
              <w:pStyle w:val="180"/>
            </w:pPr>
            <w:r>
              <w:rPr>
                <w:rFonts w:hint="eastAsia" w:ascii="Times New Roman"/>
                <w:szCs w:val="18"/>
              </w:rPr>
              <w:t>高、较高</w:t>
            </w:r>
          </w:p>
        </w:tc>
        <w:tc>
          <w:tcPr>
            <w:tcW w:w="1867" w:type="dxa"/>
            <w:shd w:val="clear" w:color="auto" w:fill="auto"/>
            <w:vAlign w:val="center"/>
          </w:tcPr>
          <w:p w14:paraId="58BE4A3B">
            <w:pPr>
              <w:pStyle w:val="180"/>
            </w:pPr>
            <w:r>
              <w:rPr>
                <w:rFonts w:ascii="Times New Roman"/>
                <w:szCs w:val="18"/>
              </w:rPr>
              <w:t>主、次变形区</w:t>
            </w:r>
          </w:p>
        </w:tc>
      </w:tr>
      <w:tr w14:paraId="456E3E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0E1CEA01">
            <w:pPr>
              <w:pStyle w:val="180"/>
            </w:pPr>
          </w:p>
        </w:tc>
        <w:tc>
          <w:tcPr>
            <w:tcW w:w="1867" w:type="dxa"/>
            <w:vMerge w:val="continue"/>
            <w:shd w:val="clear" w:color="auto" w:fill="auto"/>
            <w:vAlign w:val="center"/>
          </w:tcPr>
          <w:p w14:paraId="0649E98E">
            <w:pPr>
              <w:pStyle w:val="180"/>
            </w:pPr>
          </w:p>
        </w:tc>
        <w:tc>
          <w:tcPr>
            <w:tcW w:w="1867" w:type="dxa"/>
            <w:vMerge w:val="continue"/>
            <w:shd w:val="clear" w:color="auto" w:fill="auto"/>
            <w:vAlign w:val="center"/>
          </w:tcPr>
          <w:p w14:paraId="5C91A11C">
            <w:pPr>
              <w:pStyle w:val="180"/>
            </w:pPr>
          </w:p>
        </w:tc>
        <w:tc>
          <w:tcPr>
            <w:tcW w:w="1867" w:type="dxa"/>
            <w:shd w:val="clear" w:color="auto" w:fill="auto"/>
            <w:vAlign w:val="center"/>
          </w:tcPr>
          <w:p w14:paraId="59DE95AC">
            <w:pPr>
              <w:pStyle w:val="180"/>
            </w:pPr>
            <w:r>
              <w:rPr>
                <w:rFonts w:ascii="Times New Roman"/>
                <w:szCs w:val="18"/>
              </w:rPr>
              <w:t>较高</w:t>
            </w:r>
          </w:p>
        </w:tc>
        <w:tc>
          <w:tcPr>
            <w:tcW w:w="1867" w:type="dxa"/>
            <w:shd w:val="clear" w:color="auto" w:fill="auto"/>
            <w:vAlign w:val="center"/>
          </w:tcPr>
          <w:p w14:paraId="4B20D3E8">
            <w:pPr>
              <w:pStyle w:val="180"/>
            </w:pPr>
            <w:r>
              <w:rPr>
                <w:rFonts w:hint="eastAsia" w:ascii="Times New Roman"/>
                <w:szCs w:val="18"/>
              </w:rPr>
              <w:t>主、次</w:t>
            </w:r>
            <w:r>
              <w:rPr>
                <w:rFonts w:ascii="Times New Roman"/>
                <w:szCs w:val="18"/>
              </w:rPr>
              <w:t>变形区</w:t>
            </w:r>
          </w:p>
        </w:tc>
      </w:tr>
      <w:tr w14:paraId="4AF82B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316A32ED">
            <w:pPr>
              <w:pStyle w:val="180"/>
            </w:pPr>
          </w:p>
        </w:tc>
        <w:tc>
          <w:tcPr>
            <w:tcW w:w="1867" w:type="dxa"/>
            <w:vMerge w:val="continue"/>
            <w:shd w:val="clear" w:color="auto" w:fill="auto"/>
            <w:vAlign w:val="center"/>
          </w:tcPr>
          <w:p w14:paraId="52308C82">
            <w:pPr>
              <w:pStyle w:val="180"/>
            </w:pPr>
          </w:p>
        </w:tc>
        <w:tc>
          <w:tcPr>
            <w:tcW w:w="1867" w:type="dxa"/>
            <w:vMerge w:val="continue"/>
            <w:shd w:val="clear" w:color="auto" w:fill="auto"/>
            <w:vAlign w:val="center"/>
          </w:tcPr>
          <w:p w14:paraId="2B8B2BF9">
            <w:pPr>
              <w:pStyle w:val="180"/>
            </w:pPr>
          </w:p>
        </w:tc>
        <w:tc>
          <w:tcPr>
            <w:tcW w:w="1867" w:type="dxa"/>
            <w:shd w:val="clear" w:color="auto" w:fill="auto"/>
            <w:vAlign w:val="center"/>
          </w:tcPr>
          <w:p w14:paraId="1522B3A5">
            <w:pPr>
              <w:pStyle w:val="180"/>
            </w:pPr>
            <w:r>
              <w:rPr>
                <w:rFonts w:ascii="Times New Roman"/>
                <w:szCs w:val="18"/>
              </w:rPr>
              <w:t>中</w:t>
            </w:r>
            <w:r>
              <w:rPr>
                <w:rFonts w:hint="eastAsia" w:ascii="Times New Roman"/>
                <w:szCs w:val="18"/>
              </w:rPr>
              <w:t>等</w:t>
            </w:r>
          </w:p>
        </w:tc>
        <w:tc>
          <w:tcPr>
            <w:tcW w:w="1867" w:type="dxa"/>
            <w:shd w:val="clear" w:color="auto" w:fill="auto"/>
            <w:vAlign w:val="center"/>
          </w:tcPr>
          <w:p w14:paraId="6F527FA7">
            <w:pPr>
              <w:pStyle w:val="180"/>
            </w:pPr>
            <w:r>
              <w:rPr>
                <w:rFonts w:hint="eastAsia" w:ascii="Times New Roman"/>
                <w:szCs w:val="18"/>
              </w:rPr>
              <w:t>次</w:t>
            </w:r>
            <w:r>
              <w:rPr>
                <w:rFonts w:ascii="Times New Roman"/>
                <w:szCs w:val="18"/>
              </w:rPr>
              <w:t>变形区</w:t>
            </w:r>
          </w:p>
        </w:tc>
      </w:tr>
      <w:tr w14:paraId="415011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2D9BFF7D">
            <w:pPr>
              <w:pStyle w:val="180"/>
            </w:pPr>
          </w:p>
        </w:tc>
        <w:tc>
          <w:tcPr>
            <w:tcW w:w="1867" w:type="dxa"/>
            <w:vMerge w:val="restart"/>
            <w:shd w:val="clear" w:color="auto" w:fill="auto"/>
            <w:vAlign w:val="center"/>
          </w:tcPr>
          <w:p w14:paraId="54A5181B">
            <w:pPr>
              <w:pStyle w:val="180"/>
            </w:pPr>
            <w:r>
              <w:rPr>
                <w:rFonts w:ascii="Times New Roman"/>
                <w:szCs w:val="18"/>
              </w:rPr>
              <w:t>中等（Ⅲ级）</w:t>
            </w:r>
          </w:p>
        </w:tc>
        <w:tc>
          <w:tcPr>
            <w:tcW w:w="1867" w:type="dxa"/>
            <w:vMerge w:val="restart"/>
            <w:shd w:val="clear" w:color="auto" w:fill="auto"/>
            <w:vAlign w:val="center"/>
          </w:tcPr>
          <w:p w14:paraId="5C9A9867">
            <w:pPr>
              <w:pStyle w:val="180"/>
            </w:pPr>
            <w:r>
              <w:rPr>
                <w:rFonts w:hint="eastAsia"/>
              </w:rPr>
              <w:t>中易发</w:t>
            </w:r>
          </w:p>
        </w:tc>
        <w:tc>
          <w:tcPr>
            <w:tcW w:w="1867" w:type="dxa"/>
            <w:shd w:val="clear" w:color="auto" w:fill="auto"/>
            <w:vAlign w:val="center"/>
          </w:tcPr>
          <w:p w14:paraId="31D58408">
            <w:pPr>
              <w:pStyle w:val="180"/>
            </w:pPr>
            <w:r>
              <w:rPr>
                <w:rFonts w:hint="eastAsia" w:ascii="Times New Roman"/>
                <w:szCs w:val="18"/>
              </w:rPr>
              <w:t>高</w:t>
            </w:r>
          </w:p>
        </w:tc>
        <w:tc>
          <w:tcPr>
            <w:tcW w:w="1867" w:type="dxa"/>
            <w:shd w:val="clear" w:color="auto" w:fill="auto"/>
            <w:vAlign w:val="center"/>
          </w:tcPr>
          <w:p w14:paraId="6736EDDC">
            <w:pPr>
              <w:pStyle w:val="180"/>
            </w:pPr>
            <w:r>
              <w:rPr>
                <w:rFonts w:hint="eastAsia" w:ascii="Times New Roman"/>
                <w:szCs w:val="18"/>
              </w:rPr>
              <w:t>主、次</w:t>
            </w:r>
            <w:r>
              <w:rPr>
                <w:rFonts w:ascii="Times New Roman"/>
                <w:szCs w:val="18"/>
              </w:rPr>
              <w:t>变形区</w:t>
            </w:r>
          </w:p>
        </w:tc>
      </w:tr>
      <w:tr w14:paraId="5DBFF5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37C1E964">
            <w:pPr>
              <w:pStyle w:val="180"/>
            </w:pPr>
          </w:p>
        </w:tc>
        <w:tc>
          <w:tcPr>
            <w:tcW w:w="1867" w:type="dxa"/>
            <w:vMerge w:val="continue"/>
            <w:shd w:val="clear" w:color="auto" w:fill="auto"/>
            <w:vAlign w:val="center"/>
          </w:tcPr>
          <w:p w14:paraId="2523843C">
            <w:pPr>
              <w:pStyle w:val="180"/>
            </w:pPr>
          </w:p>
        </w:tc>
        <w:tc>
          <w:tcPr>
            <w:tcW w:w="1867" w:type="dxa"/>
            <w:vMerge w:val="continue"/>
            <w:shd w:val="clear" w:color="auto" w:fill="auto"/>
            <w:vAlign w:val="center"/>
          </w:tcPr>
          <w:p w14:paraId="5E94C2A5">
            <w:pPr>
              <w:pStyle w:val="180"/>
            </w:pPr>
          </w:p>
        </w:tc>
        <w:tc>
          <w:tcPr>
            <w:tcW w:w="1867" w:type="dxa"/>
            <w:shd w:val="clear" w:color="auto" w:fill="auto"/>
            <w:vAlign w:val="center"/>
          </w:tcPr>
          <w:p w14:paraId="0BFC0D69">
            <w:pPr>
              <w:pStyle w:val="180"/>
            </w:pPr>
            <w:r>
              <w:rPr>
                <w:rFonts w:ascii="Times New Roman"/>
                <w:szCs w:val="18"/>
              </w:rPr>
              <w:t>较高</w:t>
            </w:r>
          </w:p>
        </w:tc>
        <w:tc>
          <w:tcPr>
            <w:tcW w:w="1867" w:type="dxa"/>
            <w:shd w:val="clear" w:color="auto" w:fill="auto"/>
            <w:vAlign w:val="center"/>
          </w:tcPr>
          <w:p w14:paraId="5F9B23F9">
            <w:pPr>
              <w:pStyle w:val="180"/>
            </w:pPr>
            <w:r>
              <w:rPr>
                <w:rFonts w:hint="eastAsia" w:ascii="Times New Roman"/>
                <w:szCs w:val="18"/>
              </w:rPr>
              <w:t>次</w:t>
            </w:r>
            <w:r>
              <w:rPr>
                <w:rFonts w:ascii="Times New Roman"/>
                <w:szCs w:val="18"/>
              </w:rPr>
              <w:t>变形区</w:t>
            </w:r>
          </w:p>
        </w:tc>
      </w:tr>
      <w:tr w14:paraId="2BE7B2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28382F7F">
            <w:pPr>
              <w:pStyle w:val="180"/>
            </w:pPr>
          </w:p>
        </w:tc>
        <w:tc>
          <w:tcPr>
            <w:tcW w:w="1867" w:type="dxa"/>
            <w:vMerge w:val="continue"/>
            <w:shd w:val="clear" w:color="auto" w:fill="auto"/>
            <w:vAlign w:val="center"/>
          </w:tcPr>
          <w:p w14:paraId="0E82D223">
            <w:pPr>
              <w:pStyle w:val="180"/>
            </w:pPr>
          </w:p>
        </w:tc>
        <w:tc>
          <w:tcPr>
            <w:tcW w:w="1867" w:type="dxa"/>
            <w:vMerge w:val="continue"/>
            <w:shd w:val="clear" w:color="auto" w:fill="auto"/>
            <w:vAlign w:val="center"/>
          </w:tcPr>
          <w:p w14:paraId="4BC448A1">
            <w:pPr>
              <w:pStyle w:val="180"/>
            </w:pPr>
          </w:p>
        </w:tc>
        <w:tc>
          <w:tcPr>
            <w:tcW w:w="1867" w:type="dxa"/>
            <w:shd w:val="clear" w:color="auto" w:fill="auto"/>
            <w:vAlign w:val="center"/>
          </w:tcPr>
          <w:p w14:paraId="44232001">
            <w:pPr>
              <w:pStyle w:val="180"/>
            </w:pPr>
            <w:r>
              <w:rPr>
                <w:rFonts w:ascii="Times New Roman"/>
                <w:szCs w:val="18"/>
              </w:rPr>
              <w:t>中</w:t>
            </w:r>
            <w:r>
              <w:rPr>
                <w:rFonts w:hint="eastAsia" w:ascii="Times New Roman"/>
                <w:szCs w:val="18"/>
              </w:rPr>
              <w:t>等</w:t>
            </w:r>
          </w:p>
        </w:tc>
        <w:tc>
          <w:tcPr>
            <w:tcW w:w="1867" w:type="dxa"/>
            <w:shd w:val="clear" w:color="auto" w:fill="auto"/>
            <w:vAlign w:val="center"/>
          </w:tcPr>
          <w:p w14:paraId="128FA633">
            <w:pPr>
              <w:pStyle w:val="180"/>
            </w:pPr>
            <w:r>
              <w:rPr>
                <w:rFonts w:ascii="Times New Roman"/>
                <w:szCs w:val="18"/>
              </w:rPr>
              <w:t>次变形区</w:t>
            </w:r>
          </w:p>
        </w:tc>
      </w:tr>
      <w:tr w14:paraId="0354D1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72ACD0F4">
            <w:pPr>
              <w:pStyle w:val="180"/>
            </w:pPr>
          </w:p>
        </w:tc>
        <w:tc>
          <w:tcPr>
            <w:tcW w:w="1867" w:type="dxa"/>
            <w:vMerge w:val="restart"/>
            <w:shd w:val="clear" w:color="auto" w:fill="auto"/>
            <w:vAlign w:val="center"/>
          </w:tcPr>
          <w:p w14:paraId="6AD90CD6">
            <w:pPr>
              <w:pStyle w:val="180"/>
            </w:pPr>
            <w:r>
              <w:rPr>
                <w:rFonts w:ascii="Times New Roman"/>
                <w:szCs w:val="18"/>
              </w:rPr>
              <w:t>中等（Ⅲ级）</w:t>
            </w:r>
          </w:p>
        </w:tc>
        <w:tc>
          <w:tcPr>
            <w:tcW w:w="1867" w:type="dxa"/>
            <w:vMerge w:val="restart"/>
            <w:shd w:val="clear" w:color="auto" w:fill="auto"/>
            <w:vAlign w:val="center"/>
          </w:tcPr>
          <w:p w14:paraId="23CE52AC">
            <w:pPr>
              <w:pStyle w:val="180"/>
            </w:pPr>
            <w:r>
              <w:rPr>
                <w:rFonts w:hint="eastAsia"/>
              </w:rPr>
              <w:t>低易发</w:t>
            </w:r>
          </w:p>
        </w:tc>
        <w:tc>
          <w:tcPr>
            <w:tcW w:w="1867" w:type="dxa"/>
            <w:shd w:val="clear" w:color="auto" w:fill="auto"/>
            <w:vAlign w:val="center"/>
          </w:tcPr>
          <w:p w14:paraId="3D465DBC">
            <w:pPr>
              <w:pStyle w:val="180"/>
            </w:pPr>
            <w:r>
              <w:rPr>
                <w:rFonts w:hint="eastAsia" w:ascii="Times New Roman"/>
                <w:szCs w:val="18"/>
              </w:rPr>
              <w:t>较高</w:t>
            </w:r>
          </w:p>
        </w:tc>
        <w:tc>
          <w:tcPr>
            <w:tcW w:w="1867" w:type="dxa"/>
            <w:shd w:val="clear" w:color="auto" w:fill="auto"/>
            <w:vAlign w:val="center"/>
          </w:tcPr>
          <w:p w14:paraId="4F86D98D">
            <w:pPr>
              <w:pStyle w:val="180"/>
            </w:pPr>
            <w:r>
              <w:rPr>
                <w:rFonts w:ascii="Times New Roman"/>
                <w:szCs w:val="18"/>
              </w:rPr>
              <w:t>主</w:t>
            </w:r>
            <w:r>
              <w:rPr>
                <w:rFonts w:hint="eastAsia" w:ascii="Times New Roman"/>
                <w:szCs w:val="18"/>
              </w:rPr>
              <w:t>、次变形区</w:t>
            </w:r>
          </w:p>
        </w:tc>
      </w:tr>
      <w:tr w14:paraId="5C720A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67F28528">
            <w:pPr>
              <w:pStyle w:val="180"/>
            </w:pPr>
          </w:p>
        </w:tc>
        <w:tc>
          <w:tcPr>
            <w:tcW w:w="1867" w:type="dxa"/>
            <w:vMerge w:val="continue"/>
            <w:shd w:val="clear" w:color="auto" w:fill="auto"/>
            <w:vAlign w:val="center"/>
          </w:tcPr>
          <w:p w14:paraId="5DEB2B78">
            <w:pPr>
              <w:pStyle w:val="180"/>
            </w:pPr>
          </w:p>
        </w:tc>
        <w:tc>
          <w:tcPr>
            <w:tcW w:w="1867" w:type="dxa"/>
            <w:vMerge w:val="continue"/>
            <w:shd w:val="clear" w:color="auto" w:fill="auto"/>
            <w:vAlign w:val="center"/>
          </w:tcPr>
          <w:p w14:paraId="21EF8691">
            <w:pPr>
              <w:pStyle w:val="180"/>
            </w:pPr>
          </w:p>
        </w:tc>
        <w:tc>
          <w:tcPr>
            <w:tcW w:w="1867" w:type="dxa"/>
            <w:shd w:val="clear" w:color="auto" w:fill="auto"/>
            <w:vAlign w:val="center"/>
          </w:tcPr>
          <w:p w14:paraId="7D0A38B2">
            <w:pPr>
              <w:pStyle w:val="180"/>
            </w:pPr>
            <w:r>
              <w:rPr>
                <w:rFonts w:ascii="Times New Roman"/>
                <w:szCs w:val="18"/>
              </w:rPr>
              <w:t>较高、中等</w:t>
            </w:r>
          </w:p>
        </w:tc>
        <w:tc>
          <w:tcPr>
            <w:tcW w:w="1867" w:type="dxa"/>
            <w:shd w:val="clear" w:color="auto" w:fill="auto"/>
            <w:vAlign w:val="center"/>
          </w:tcPr>
          <w:p w14:paraId="0C2E0492">
            <w:pPr>
              <w:pStyle w:val="180"/>
            </w:pPr>
            <w:r>
              <w:rPr>
                <w:rFonts w:hint="eastAsia" w:ascii="Times New Roman"/>
                <w:szCs w:val="18"/>
              </w:rPr>
              <w:t>次变形区</w:t>
            </w:r>
          </w:p>
        </w:tc>
      </w:tr>
      <w:tr w14:paraId="590D22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1E197D7D">
            <w:pPr>
              <w:pStyle w:val="180"/>
            </w:pPr>
          </w:p>
        </w:tc>
        <w:tc>
          <w:tcPr>
            <w:tcW w:w="1867" w:type="dxa"/>
            <w:vMerge w:val="continue"/>
            <w:shd w:val="clear" w:color="auto" w:fill="auto"/>
            <w:vAlign w:val="center"/>
          </w:tcPr>
          <w:p w14:paraId="52EFED04">
            <w:pPr>
              <w:pStyle w:val="180"/>
            </w:pPr>
          </w:p>
        </w:tc>
        <w:tc>
          <w:tcPr>
            <w:tcW w:w="1867" w:type="dxa"/>
            <w:vMerge w:val="continue"/>
            <w:shd w:val="clear" w:color="auto" w:fill="auto"/>
            <w:vAlign w:val="center"/>
          </w:tcPr>
          <w:p w14:paraId="59648CAA">
            <w:pPr>
              <w:pStyle w:val="180"/>
            </w:pPr>
          </w:p>
        </w:tc>
        <w:tc>
          <w:tcPr>
            <w:tcW w:w="1867" w:type="dxa"/>
            <w:shd w:val="clear" w:color="auto" w:fill="auto"/>
            <w:vAlign w:val="center"/>
          </w:tcPr>
          <w:p w14:paraId="01754A47">
            <w:pPr>
              <w:pStyle w:val="180"/>
            </w:pPr>
            <w:r>
              <w:rPr>
                <w:rFonts w:ascii="Times New Roman"/>
                <w:szCs w:val="18"/>
              </w:rPr>
              <w:t>中</w:t>
            </w:r>
            <w:r>
              <w:rPr>
                <w:rFonts w:hint="eastAsia" w:ascii="Times New Roman"/>
                <w:szCs w:val="18"/>
              </w:rPr>
              <w:t>等、低</w:t>
            </w:r>
          </w:p>
        </w:tc>
        <w:tc>
          <w:tcPr>
            <w:tcW w:w="1867" w:type="dxa"/>
            <w:shd w:val="clear" w:color="auto" w:fill="auto"/>
            <w:vAlign w:val="center"/>
          </w:tcPr>
          <w:p w14:paraId="0BAF2438">
            <w:pPr>
              <w:pStyle w:val="180"/>
            </w:pPr>
            <w:r>
              <w:rPr>
                <w:rFonts w:hint="eastAsia" w:ascii="Times New Roman"/>
                <w:szCs w:val="18"/>
              </w:rPr>
              <w:t>次变形区</w:t>
            </w:r>
          </w:p>
        </w:tc>
      </w:tr>
      <w:tr w14:paraId="13480E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67E14546">
            <w:pPr>
              <w:pStyle w:val="180"/>
            </w:pPr>
            <w:r>
              <w:rPr>
                <w:rFonts w:ascii="Times New Roman"/>
                <w:szCs w:val="18"/>
              </w:rPr>
              <w:t>中危险</w:t>
            </w:r>
          </w:p>
        </w:tc>
        <w:tc>
          <w:tcPr>
            <w:tcW w:w="1867" w:type="dxa"/>
            <w:shd w:val="clear" w:color="auto" w:fill="auto"/>
            <w:vAlign w:val="center"/>
          </w:tcPr>
          <w:p w14:paraId="482B7515">
            <w:pPr>
              <w:pStyle w:val="180"/>
            </w:pPr>
            <w:r>
              <w:rPr>
                <w:rFonts w:ascii="Times New Roman"/>
                <w:szCs w:val="18"/>
              </w:rPr>
              <w:t>强烈（Ⅰ级）</w:t>
            </w:r>
          </w:p>
        </w:tc>
        <w:tc>
          <w:tcPr>
            <w:tcW w:w="1867" w:type="dxa"/>
            <w:shd w:val="clear" w:color="auto" w:fill="auto"/>
            <w:vAlign w:val="center"/>
          </w:tcPr>
          <w:p w14:paraId="46377AA0">
            <w:pPr>
              <w:pStyle w:val="180"/>
            </w:pPr>
            <w:r>
              <w:rPr>
                <w:rFonts w:hint="eastAsia"/>
              </w:rPr>
              <w:t>高易发</w:t>
            </w:r>
          </w:p>
        </w:tc>
        <w:tc>
          <w:tcPr>
            <w:tcW w:w="1867" w:type="dxa"/>
            <w:shd w:val="clear" w:color="auto" w:fill="auto"/>
            <w:vAlign w:val="center"/>
          </w:tcPr>
          <w:p w14:paraId="5968175A">
            <w:pPr>
              <w:pStyle w:val="180"/>
            </w:pPr>
            <w:r>
              <w:rPr>
                <w:rFonts w:hint="eastAsia" w:ascii="Times New Roman"/>
                <w:szCs w:val="18"/>
              </w:rPr>
              <w:t>较高</w:t>
            </w:r>
          </w:p>
        </w:tc>
        <w:tc>
          <w:tcPr>
            <w:tcW w:w="1867" w:type="dxa"/>
            <w:shd w:val="clear" w:color="auto" w:fill="auto"/>
            <w:vAlign w:val="center"/>
          </w:tcPr>
          <w:p w14:paraId="0954BFA0">
            <w:pPr>
              <w:pStyle w:val="180"/>
            </w:pPr>
            <w:r>
              <w:rPr>
                <w:rFonts w:hint="eastAsia" w:ascii="Times New Roman"/>
                <w:szCs w:val="18"/>
              </w:rPr>
              <w:t>次</w:t>
            </w:r>
            <w:r>
              <w:rPr>
                <w:rFonts w:ascii="Times New Roman"/>
                <w:szCs w:val="18"/>
              </w:rPr>
              <w:t>变形区</w:t>
            </w:r>
          </w:p>
        </w:tc>
      </w:tr>
      <w:tr w14:paraId="15B4C1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4E52D9E2">
            <w:pPr>
              <w:pStyle w:val="180"/>
            </w:pPr>
          </w:p>
        </w:tc>
        <w:tc>
          <w:tcPr>
            <w:tcW w:w="1867" w:type="dxa"/>
            <w:vMerge w:val="restart"/>
            <w:shd w:val="clear" w:color="auto" w:fill="auto"/>
            <w:vAlign w:val="center"/>
          </w:tcPr>
          <w:p w14:paraId="5B7DA165">
            <w:pPr>
              <w:pStyle w:val="180"/>
            </w:pPr>
            <w:r>
              <w:rPr>
                <w:rFonts w:ascii="Times New Roman"/>
                <w:szCs w:val="18"/>
              </w:rPr>
              <w:t>较强烈（Ⅱ级）</w:t>
            </w:r>
          </w:p>
        </w:tc>
        <w:tc>
          <w:tcPr>
            <w:tcW w:w="1867" w:type="dxa"/>
            <w:vMerge w:val="restart"/>
            <w:shd w:val="clear" w:color="auto" w:fill="auto"/>
            <w:vAlign w:val="center"/>
          </w:tcPr>
          <w:p w14:paraId="7DA587EA">
            <w:pPr>
              <w:pStyle w:val="180"/>
            </w:pPr>
            <w:r>
              <w:rPr>
                <w:rFonts w:hint="eastAsia"/>
              </w:rPr>
              <w:t>中易发</w:t>
            </w:r>
          </w:p>
        </w:tc>
        <w:tc>
          <w:tcPr>
            <w:tcW w:w="1867" w:type="dxa"/>
            <w:shd w:val="clear" w:color="auto" w:fill="auto"/>
            <w:vAlign w:val="center"/>
          </w:tcPr>
          <w:p w14:paraId="525C0F3F">
            <w:pPr>
              <w:pStyle w:val="180"/>
            </w:pPr>
            <w:r>
              <w:rPr>
                <w:rFonts w:ascii="Times New Roman"/>
                <w:szCs w:val="18"/>
              </w:rPr>
              <w:t>中</w:t>
            </w:r>
            <w:r>
              <w:rPr>
                <w:rFonts w:hint="eastAsia" w:ascii="Times New Roman"/>
                <w:szCs w:val="18"/>
              </w:rPr>
              <w:t>等</w:t>
            </w:r>
          </w:p>
        </w:tc>
        <w:tc>
          <w:tcPr>
            <w:tcW w:w="1867" w:type="dxa"/>
            <w:shd w:val="clear" w:color="auto" w:fill="auto"/>
            <w:vAlign w:val="center"/>
          </w:tcPr>
          <w:p w14:paraId="30C1CBD0">
            <w:pPr>
              <w:pStyle w:val="180"/>
            </w:pPr>
            <w:r>
              <w:rPr>
                <w:rFonts w:ascii="Times New Roman"/>
                <w:szCs w:val="18"/>
              </w:rPr>
              <w:t>微变形区</w:t>
            </w:r>
          </w:p>
        </w:tc>
      </w:tr>
      <w:tr w14:paraId="379946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71DE8473">
            <w:pPr>
              <w:pStyle w:val="180"/>
            </w:pPr>
          </w:p>
        </w:tc>
        <w:tc>
          <w:tcPr>
            <w:tcW w:w="1867" w:type="dxa"/>
            <w:vMerge w:val="continue"/>
            <w:shd w:val="clear" w:color="auto" w:fill="auto"/>
            <w:vAlign w:val="center"/>
          </w:tcPr>
          <w:p w14:paraId="008C17EF">
            <w:pPr>
              <w:pStyle w:val="180"/>
            </w:pPr>
          </w:p>
        </w:tc>
        <w:tc>
          <w:tcPr>
            <w:tcW w:w="1867" w:type="dxa"/>
            <w:vMerge w:val="continue"/>
            <w:shd w:val="clear" w:color="auto" w:fill="auto"/>
            <w:vAlign w:val="center"/>
          </w:tcPr>
          <w:p w14:paraId="197ECB86">
            <w:pPr>
              <w:pStyle w:val="180"/>
            </w:pPr>
          </w:p>
        </w:tc>
        <w:tc>
          <w:tcPr>
            <w:tcW w:w="1867" w:type="dxa"/>
            <w:shd w:val="clear" w:color="auto" w:fill="auto"/>
            <w:vAlign w:val="center"/>
          </w:tcPr>
          <w:p w14:paraId="305280CA">
            <w:pPr>
              <w:pStyle w:val="180"/>
            </w:pPr>
            <w:r>
              <w:rPr>
                <w:rFonts w:hint="eastAsia" w:ascii="Times New Roman"/>
                <w:szCs w:val="18"/>
              </w:rPr>
              <w:t>低</w:t>
            </w:r>
          </w:p>
        </w:tc>
        <w:tc>
          <w:tcPr>
            <w:tcW w:w="1867" w:type="dxa"/>
            <w:shd w:val="clear" w:color="auto" w:fill="auto"/>
            <w:vAlign w:val="center"/>
          </w:tcPr>
          <w:p w14:paraId="682391B2">
            <w:pPr>
              <w:pStyle w:val="180"/>
            </w:pPr>
            <w:r>
              <w:rPr>
                <w:rFonts w:hint="eastAsia" w:ascii="Times New Roman"/>
                <w:szCs w:val="18"/>
              </w:rPr>
              <w:t>次</w:t>
            </w:r>
            <w:r>
              <w:rPr>
                <w:rFonts w:ascii="Times New Roman"/>
                <w:szCs w:val="18"/>
              </w:rPr>
              <w:t>变形区、微变形区</w:t>
            </w:r>
          </w:p>
        </w:tc>
      </w:tr>
      <w:tr w14:paraId="4FC125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0E3AFC54">
            <w:pPr>
              <w:pStyle w:val="180"/>
            </w:pPr>
          </w:p>
        </w:tc>
        <w:tc>
          <w:tcPr>
            <w:tcW w:w="1867" w:type="dxa"/>
            <w:vMerge w:val="restart"/>
            <w:shd w:val="clear" w:color="auto" w:fill="auto"/>
            <w:vAlign w:val="center"/>
          </w:tcPr>
          <w:p w14:paraId="07EEE32F">
            <w:pPr>
              <w:pStyle w:val="180"/>
            </w:pPr>
            <w:r>
              <w:rPr>
                <w:rFonts w:ascii="Times New Roman"/>
                <w:szCs w:val="18"/>
              </w:rPr>
              <w:t>中等（Ⅲ级）</w:t>
            </w:r>
          </w:p>
        </w:tc>
        <w:tc>
          <w:tcPr>
            <w:tcW w:w="1867" w:type="dxa"/>
            <w:vMerge w:val="restart"/>
            <w:shd w:val="clear" w:color="auto" w:fill="auto"/>
            <w:vAlign w:val="center"/>
          </w:tcPr>
          <w:p w14:paraId="728E2C2E">
            <w:pPr>
              <w:pStyle w:val="180"/>
            </w:pPr>
            <w:r>
              <w:rPr>
                <w:rFonts w:hint="eastAsia"/>
              </w:rPr>
              <w:t>低易发</w:t>
            </w:r>
          </w:p>
        </w:tc>
        <w:tc>
          <w:tcPr>
            <w:tcW w:w="1867" w:type="dxa"/>
            <w:shd w:val="clear" w:color="auto" w:fill="auto"/>
            <w:vAlign w:val="center"/>
          </w:tcPr>
          <w:p w14:paraId="5341E40F">
            <w:pPr>
              <w:pStyle w:val="180"/>
            </w:pPr>
            <w:r>
              <w:rPr>
                <w:rFonts w:hint="eastAsia" w:ascii="Times New Roman"/>
                <w:szCs w:val="18"/>
              </w:rPr>
              <w:t>较高</w:t>
            </w:r>
          </w:p>
        </w:tc>
        <w:tc>
          <w:tcPr>
            <w:tcW w:w="1867" w:type="dxa"/>
            <w:shd w:val="clear" w:color="auto" w:fill="auto"/>
            <w:vAlign w:val="center"/>
          </w:tcPr>
          <w:p w14:paraId="21D6FD53">
            <w:pPr>
              <w:pStyle w:val="180"/>
            </w:pPr>
            <w:r>
              <w:rPr>
                <w:rFonts w:ascii="Times New Roman"/>
                <w:szCs w:val="18"/>
              </w:rPr>
              <w:t>微变形区</w:t>
            </w:r>
          </w:p>
        </w:tc>
      </w:tr>
      <w:tr w14:paraId="31E61F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3FD70294">
            <w:pPr>
              <w:pStyle w:val="180"/>
            </w:pPr>
          </w:p>
        </w:tc>
        <w:tc>
          <w:tcPr>
            <w:tcW w:w="1867" w:type="dxa"/>
            <w:vMerge w:val="continue"/>
            <w:shd w:val="clear" w:color="auto" w:fill="auto"/>
            <w:vAlign w:val="center"/>
          </w:tcPr>
          <w:p w14:paraId="368AB970">
            <w:pPr>
              <w:pStyle w:val="180"/>
            </w:pPr>
          </w:p>
        </w:tc>
        <w:tc>
          <w:tcPr>
            <w:tcW w:w="1867" w:type="dxa"/>
            <w:vMerge w:val="continue"/>
            <w:shd w:val="clear" w:color="auto" w:fill="auto"/>
            <w:vAlign w:val="center"/>
          </w:tcPr>
          <w:p w14:paraId="02F8D715">
            <w:pPr>
              <w:pStyle w:val="180"/>
            </w:pPr>
          </w:p>
        </w:tc>
        <w:tc>
          <w:tcPr>
            <w:tcW w:w="1867" w:type="dxa"/>
            <w:shd w:val="clear" w:color="auto" w:fill="auto"/>
            <w:vAlign w:val="center"/>
          </w:tcPr>
          <w:p w14:paraId="1F5FE87E">
            <w:pPr>
              <w:pStyle w:val="180"/>
            </w:pPr>
            <w:r>
              <w:rPr>
                <w:rFonts w:ascii="Times New Roman"/>
                <w:szCs w:val="18"/>
              </w:rPr>
              <w:t>中</w:t>
            </w:r>
            <w:r>
              <w:rPr>
                <w:rFonts w:hint="eastAsia" w:ascii="Times New Roman"/>
                <w:szCs w:val="18"/>
              </w:rPr>
              <w:t>等、低</w:t>
            </w:r>
          </w:p>
        </w:tc>
        <w:tc>
          <w:tcPr>
            <w:tcW w:w="1867" w:type="dxa"/>
            <w:shd w:val="clear" w:color="auto" w:fill="auto"/>
            <w:vAlign w:val="center"/>
          </w:tcPr>
          <w:p w14:paraId="3D66F587">
            <w:pPr>
              <w:pStyle w:val="180"/>
            </w:pPr>
            <w:r>
              <w:rPr>
                <w:rFonts w:ascii="Times New Roman"/>
                <w:szCs w:val="18"/>
              </w:rPr>
              <w:t>微变形区</w:t>
            </w:r>
          </w:p>
        </w:tc>
      </w:tr>
      <w:tr w14:paraId="1B605E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644100FE">
            <w:pPr>
              <w:pStyle w:val="180"/>
            </w:pPr>
          </w:p>
        </w:tc>
        <w:tc>
          <w:tcPr>
            <w:tcW w:w="1867" w:type="dxa"/>
            <w:vMerge w:val="continue"/>
            <w:shd w:val="clear" w:color="auto" w:fill="auto"/>
            <w:vAlign w:val="center"/>
          </w:tcPr>
          <w:p w14:paraId="2CD00BFB">
            <w:pPr>
              <w:pStyle w:val="180"/>
            </w:pPr>
          </w:p>
        </w:tc>
        <w:tc>
          <w:tcPr>
            <w:tcW w:w="1867" w:type="dxa"/>
            <w:vMerge w:val="continue"/>
            <w:shd w:val="clear" w:color="auto" w:fill="auto"/>
            <w:vAlign w:val="center"/>
          </w:tcPr>
          <w:p w14:paraId="446871C0">
            <w:pPr>
              <w:pStyle w:val="180"/>
            </w:pPr>
          </w:p>
        </w:tc>
        <w:tc>
          <w:tcPr>
            <w:tcW w:w="1867" w:type="dxa"/>
            <w:shd w:val="clear" w:color="auto" w:fill="auto"/>
            <w:vAlign w:val="center"/>
          </w:tcPr>
          <w:p w14:paraId="75E0BD38">
            <w:pPr>
              <w:pStyle w:val="180"/>
            </w:pPr>
            <w:r>
              <w:rPr>
                <w:rFonts w:hint="eastAsia" w:ascii="Times New Roman"/>
                <w:szCs w:val="18"/>
              </w:rPr>
              <w:t>低</w:t>
            </w:r>
          </w:p>
        </w:tc>
        <w:tc>
          <w:tcPr>
            <w:tcW w:w="1867" w:type="dxa"/>
            <w:shd w:val="clear" w:color="auto" w:fill="auto"/>
            <w:vAlign w:val="center"/>
          </w:tcPr>
          <w:p w14:paraId="49C811D1">
            <w:pPr>
              <w:pStyle w:val="180"/>
            </w:pPr>
            <w:r>
              <w:rPr>
                <w:rFonts w:hint="eastAsia" w:ascii="Times New Roman"/>
                <w:szCs w:val="18"/>
              </w:rPr>
              <w:t>次</w:t>
            </w:r>
            <w:r>
              <w:rPr>
                <w:rFonts w:ascii="Times New Roman"/>
                <w:szCs w:val="18"/>
              </w:rPr>
              <w:t>变形区、微变形区</w:t>
            </w:r>
          </w:p>
        </w:tc>
      </w:tr>
      <w:tr w14:paraId="0C07DE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5B091F90">
            <w:pPr>
              <w:pStyle w:val="180"/>
            </w:pPr>
          </w:p>
        </w:tc>
        <w:tc>
          <w:tcPr>
            <w:tcW w:w="1867" w:type="dxa"/>
            <w:shd w:val="clear" w:color="auto" w:fill="auto"/>
            <w:vAlign w:val="center"/>
          </w:tcPr>
          <w:p w14:paraId="080CBAE5">
            <w:pPr>
              <w:pStyle w:val="180"/>
            </w:pPr>
            <w:r>
              <w:rPr>
                <w:rFonts w:ascii="Times New Roman"/>
                <w:szCs w:val="18"/>
              </w:rPr>
              <w:t>微弱（Ⅳ级）</w:t>
            </w:r>
          </w:p>
        </w:tc>
        <w:tc>
          <w:tcPr>
            <w:tcW w:w="1867" w:type="dxa"/>
            <w:shd w:val="clear" w:color="auto" w:fill="auto"/>
            <w:vAlign w:val="center"/>
          </w:tcPr>
          <w:p w14:paraId="6B6AA606">
            <w:pPr>
              <w:pStyle w:val="180"/>
            </w:pPr>
            <w:r>
              <w:rPr>
                <w:rFonts w:hint="eastAsia"/>
              </w:rPr>
              <w:t>不易发</w:t>
            </w:r>
          </w:p>
        </w:tc>
        <w:tc>
          <w:tcPr>
            <w:tcW w:w="1867" w:type="dxa"/>
            <w:shd w:val="clear" w:color="auto" w:fill="auto"/>
            <w:vAlign w:val="center"/>
          </w:tcPr>
          <w:p w14:paraId="75703547">
            <w:pPr>
              <w:pStyle w:val="180"/>
            </w:pPr>
            <w:r>
              <w:rPr>
                <w:rFonts w:hint="eastAsia" w:ascii="Times New Roman"/>
                <w:szCs w:val="18"/>
              </w:rPr>
              <w:t>低</w:t>
            </w:r>
          </w:p>
        </w:tc>
        <w:tc>
          <w:tcPr>
            <w:tcW w:w="1867" w:type="dxa"/>
            <w:shd w:val="clear" w:color="auto" w:fill="auto"/>
            <w:vAlign w:val="center"/>
          </w:tcPr>
          <w:p w14:paraId="6CB8E3CB">
            <w:pPr>
              <w:pStyle w:val="180"/>
            </w:pPr>
            <w:r>
              <w:rPr>
                <w:rFonts w:ascii="Times New Roman"/>
                <w:szCs w:val="18"/>
              </w:rPr>
              <w:t>主、次变形区</w:t>
            </w:r>
          </w:p>
        </w:tc>
      </w:tr>
      <w:tr w14:paraId="3CC5DB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24EDDDC9">
            <w:pPr>
              <w:pStyle w:val="180"/>
            </w:pPr>
            <w:r>
              <w:rPr>
                <w:rFonts w:hint="eastAsia" w:ascii="Times New Roman"/>
                <w:szCs w:val="18"/>
              </w:rPr>
              <w:t>低危险</w:t>
            </w:r>
          </w:p>
        </w:tc>
        <w:tc>
          <w:tcPr>
            <w:tcW w:w="1867" w:type="dxa"/>
            <w:shd w:val="clear" w:color="auto" w:fill="auto"/>
            <w:vAlign w:val="center"/>
          </w:tcPr>
          <w:p w14:paraId="54623319">
            <w:pPr>
              <w:pStyle w:val="180"/>
            </w:pPr>
            <w:r>
              <w:rPr>
                <w:rFonts w:ascii="Times New Roman"/>
                <w:szCs w:val="18"/>
              </w:rPr>
              <w:t>中等（Ⅲ级）</w:t>
            </w:r>
          </w:p>
        </w:tc>
        <w:tc>
          <w:tcPr>
            <w:tcW w:w="1867" w:type="dxa"/>
            <w:shd w:val="clear" w:color="auto" w:fill="auto"/>
            <w:vAlign w:val="center"/>
          </w:tcPr>
          <w:p w14:paraId="564F2012">
            <w:pPr>
              <w:pStyle w:val="180"/>
            </w:pPr>
            <w:r>
              <w:rPr>
                <w:rFonts w:hint="eastAsia"/>
              </w:rPr>
              <w:t>低易发</w:t>
            </w:r>
          </w:p>
        </w:tc>
        <w:tc>
          <w:tcPr>
            <w:tcW w:w="1867" w:type="dxa"/>
            <w:shd w:val="clear" w:color="auto" w:fill="auto"/>
            <w:vAlign w:val="center"/>
          </w:tcPr>
          <w:p w14:paraId="348E3226">
            <w:pPr>
              <w:pStyle w:val="180"/>
            </w:pPr>
            <w:r>
              <w:rPr>
                <w:rFonts w:hint="eastAsia" w:ascii="Times New Roman"/>
                <w:szCs w:val="18"/>
              </w:rPr>
              <w:t>低</w:t>
            </w:r>
          </w:p>
        </w:tc>
        <w:tc>
          <w:tcPr>
            <w:tcW w:w="1867" w:type="dxa"/>
            <w:shd w:val="clear" w:color="auto" w:fill="auto"/>
            <w:vAlign w:val="center"/>
          </w:tcPr>
          <w:p w14:paraId="4E26ACF4">
            <w:pPr>
              <w:pStyle w:val="180"/>
            </w:pPr>
            <w:r>
              <w:rPr>
                <w:rFonts w:ascii="Times New Roman"/>
                <w:szCs w:val="18"/>
              </w:rPr>
              <w:t>微变形区</w:t>
            </w:r>
          </w:p>
        </w:tc>
      </w:tr>
      <w:tr w14:paraId="719663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0D87011C">
            <w:pPr>
              <w:pStyle w:val="180"/>
            </w:pPr>
          </w:p>
        </w:tc>
        <w:tc>
          <w:tcPr>
            <w:tcW w:w="1867" w:type="dxa"/>
            <w:shd w:val="clear" w:color="auto" w:fill="auto"/>
            <w:vAlign w:val="center"/>
          </w:tcPr>
          <w:p w14:paraId="0F42584E">
            <w:pPr>
              <w:pStyle w:val="180"/>
            </w:pPr>
            <w:r>
              <w:rPr>
                <w:rFonts w:ascii="Times New Roman"/>
                <w:szCs w:val="18"/>
              </w:rPr>
              <w:t>微弱（Ⅳ级）</w:t>
            </w:r>
          </w:p>
        </w:tc>
        <w:tc>
          <w:tcPr>
            <w:tcW w:w="1867" w:type="dxa"/>
            <w:shd w:val="clear" w:color="auto" w:fill="auto"/>
            <w:vAlign w:val="center"/>
          </w:tcPr>
          <w:p w14:paraId="7F426699">
            <w:pPr>
              <w:pStyle w:val="180"/>
            </w:pPr>
            <w:r>
              <w:rPr>
                <w:rFonts w:hint="eastAsia"/>
              </w:rPr>
              <w:t>不易发</w:t>
            </w:r>
          </w:p>
        </w:tc>
        <w:tc>
          <w:tcPr>
            <w:tcW w:w="1867" w:type="dxa"/>
            <w:shd w:val="clear" w:color="auto" w:fill="auto"/>
            <w:vAlign w:val="center"/>
          </w:tcPr>
          <w:p w14:paraId="3166F99D">
            <w:pPr>
              <w:pStyle w:val="180"/>
            </w:pPr>
            <w:r>
              <w:rPr>
                <w:rFonts w:hint="eastAsia" w:ascii="Times New Roman"/>
                <w:szCs w:val="18"/>
              </w:rPr>
              <w:t>低</w:t>
            </w:r>
          </w:p>
        </w:tc>
        <w:tc>
          <w:tcPr>
            <w:tcW w:w="1867" w:type="dxa"/>
            <w:shd w:val="clear" w:color="auto" w:fill="auto"/>
            <w:vAlign w:val="center"/>
          </w:tcPr>
          <w:p w14:paraId="5682C397">
            <w:pPr>
              <w:pStyle w:val="180"/>
            </w:pPr>
            <w:r>
              <w:rPr>
                <w:rFonts w:ascii="Times New Roman"/>
                <w:szCs w:val="18"/>
              </w:rPr>
              <w:t>微变形区</w:t>
            </w:r>
          </w:p>
        </w:tc>
      </w:tr>
      <w:tr w14:paraId="1E5BDE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tcBorders>
              <w:bottom w:val="single" w:color="auto" w:sz="8" w:space="0"/>
            </w:tcBorders>
            <w:shd w:val="clear" w:color="auto" w:fill="auto"/>
            <w:vAlign w:val="center"/>
          </w:tcPr>
          <w:p w14:paraId="3177EC6E">
            <w:pPr>
              <w:pStyle w:val="180"/>
            </w:pPr>
          </w:p>
        </w:tc>
        <w:tc>
          <w:tcPr>
            <w:tcW w:w="1867" w:type="dxa"/>
            <w:tcBorders>
              <w:bottom w:val="single" w:color="auto" w:sz="8" w:space="0"/>
            </w:tcBorders>
            <w:shd w:val="clear" w:color="auto" w:fill="auto"/>
            <w:vAlign w:val="center"/>
          </w:tcPr>
          <w:p w14:paraId="60B5F793">
            <w:pPr>
              <w:pStyle w:val="180"/>
            </w:pPr>
            <w:r>
              <w:rPr>
                <w:rFonts w:hint="eastAsia" w:ascii="Times New Roman"/>
                <w:szCs w:val="18"/>
              </w:rPr>
              <w:t>/</w:t>
            </w:r>
          </w:p>
        </w:tc>
        <w:tc>
          <w:tcPr>
            <w:tcW w:w="1867" w:type="dxa"/>
            <w:tcBorders>
              <w:bottom w:val="single" w:color="auto" w:sz="8" w:space="0"/>
            </w:tcBorders>
            <w:shd w:val="clear" w:color="auto" w:fill="auto"/>
            <w:vAlign w:val="center"/>
          </w:tcPr>
          <w:p w14:paraId="3FE7A469">
            <w:pPr>
              <w:pStyle w:val="180"/>
            </w:pPr>
            <w:r>
              <w:rPr>
                <w:rFonts w:hint="eastAsia" w:ascii="Times New Roman"/>
                <w:szCs w:val="18"/>
              </w:rPr>
              <w:t>/</w:t>
            </w:r>
          </w:p>
        </w:tc>
        <w:tc>
          <w:tcPr>
            <w:tcW w:w="1867" w:type="dxa"/>
            <w:tcBorders>
              <w:bottom w:val="single" w:color="auto" w:sz="8" w:space="0"/>
            </w:tcBorders>
            <w:shd w:val="clear" w:color="auto" w:fill="auto"/>
            <w:vAlign w:val="center"/>
          </w:tcPr>
          <w:p w14:paraId="349B1A1A">
            <w:pPr>
              <w:pStyle w:val="180"/>
            </w:pPr>
            <w:r>
              <w:rPr>
                <w:rFonts w:hint="eastAsia" w:ascii="Times New Roman"/>
                <w:szCs w:val="18"/>
              </w:rPr>
              <w:t>/</w:t>
            </w:r>
          </w:p>
        </w:tc>
        <w:tc>
          <w:tcPr>
            <w:tcW w:w="1867" w:type="dxa"/>
            <w:tcBorders>
              <w:bottom w:val="single" w:color="auto" w:sz="8" w:space="0"/>
            </w:tcBorders>
            <w:shd w:val="clear" w:color="auto" w:fill="auto"/>
            <w:vAlign w:val="center"/>
          </w:tcPr>
          <w:p w14:paraId="3D4515A3">
            <w:pPr>
              <w:pStyle w:val="180"/>
            </w:pPr>
            <w:r>
              <w:rPr>
                <w:rFonts w:hint="eastAsia" w:ascii="Times New Roman"/>
                <w:szCs w:val="18"/>
              </w:rPr>
              <w:t>影响区外</w:t>
            </w:r>
          </w:p>
        </w:tc>
      </w:tr>
      <w:tr w14:paraId="5EBA7E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5"/>
            <w:tcBorders>
              <w:top w:val="single" w:color="auto" w:sz="8" w:space="0"/>
              <w:bottom w:val="single" w:color="auto" w:sz="8" w:space="0"/>
            </w:tcBorders>
            <w:shd w:val="clear" w:color="auto" w:fill="auto"/>
            <w:vAlign w:val="center"/>
          </w:tcPr>
          <w:p w14:paraId="45838289">
            <w:pPr>
              <w:pStyle w:val="182"/>
              <w:numPr>
                <w:ilvl w:val="0"/>
                <w:numId w:val="61"/>
              </w:numPr>
            </w:pPr>
            <w:r>
              <w:rPr>
                <w:rFonts w:hint="eastAsia"/>
              </w:rPr>
              <w:t>根据地裂缝是否发生，活动性和易发程度两个判别要素选择一项即可；</w:t>
            </w:r>
          </w:p>
          <w:p w14:paraId="61339F34">
            <w:pPr>
              <w:pStyle w:val="182"/>
              <w:numPr>
                <w:ilvl w:val="0"/>
                <w:numId w:val="61"/>
              </w:numPr>
            </w:pPr>
            <w:r>
              <w:rPr>
                <w:rFonts w:hint="eastAsia"/>
              </w:rPr>
              <w:t>已发生地裂缝变形区的范围，根据地裂缝调查、勘查结果或地区经验确定；</w:t>
            </w:r>
            <w:r>
              <w:rPr>
                <w:rFonts w:hint="eastAsia" w:hAnsi="宋体" w:cs="宋体"/>
              </w:rPr>
              <w:t>潜在</w:t>
            </w:r>
            <w:r>
              <w:rPr>
                <w:rFonts w:hint="eastAsia"/>
              </w:rPr>
              <w:t>地裂缝变形区的范围，根据地裂缝的潜在位置及其判别精度、地区经验最大值或理论分析最大值确定；</w:t>
            </w:r>
          </w:p>
          <w:p w14:paraId="146F7B24">
            <w:pPr>
              <w:pStyle w:val="182"/>
              <w:numPr>
                <w:ilvl w:val="0"/>
                <w:numId w:val="61"/>
              </w:numPr>
            </w:pPr>
            <w:r>
              <w:rPr>
                <w:rFonts w:hint="eastAsia"/>
              </w:rPr>
              <w:t>“/”表示在本判别要素中的任意等级；</w:t>
            </w:r>
          </w:p>
          <w:p w14:paraId="13D3C11D">
            <w:pPr>
              <w:pStyle w:val="182"/>
              <w:numPr>
                <w:ilvl w:val="0"/>
                <w:numId w:val="61"/>
              </w:numPr>
            </w:pPr>
            <w:r>
              <w:rPr>
                <w:rFonts w:hint="eastAsia"/>
              </w:rPr>
              <w:t>上述三项判别要素须同时满足，并按照高至低顺序确定；</w:t>
            </w:r>
          </w:p>
          <w:p w14:paraId="3DA42F61">
            <w:pPr>
              <w:pStyle w:val="182"/>
              <w:numPr>
                <w:ilvl w:val="0"/>
                <w:numId w:val="61"/>
              </w:numPr>
            </w:pPr>
            <w:r>
              <w:t>地下水位高差是指</w:t>
            </w:r>
            <w:r>
              <w:rPr>
                <w:rFonts w:hint="eastAsia"/>
              </w:rPr>
              <w:t>开采</w:t>
            </w:r>
            <w:r>
              <w:t>盆地中主要开采层</w:t>
            </w:r>
            <w:r>
              <w:rPr>
                <w:rFonts w:hint="eastAsia"/>
              </w:rPr>
              <w:t>的</w:t>
            </w:r>
            <w:r>
              <w:t>最低水位与评价区最高水位的差值</w:t>
            </w:r>
            <w:r>
              <w:rPr>
                <w:rFonts w:hint="eastAsia"/>
              </w:rPr>
              <w:t>。</w:t>
            </w:r>
          </w:p>
        </w:tc>
      </w:tr>
    </w:tbl>
    <w:p w14:paraId="7803BEBA">
      <w:pPr>
        <w:pStyle w:val="79"/>
        <w:spacing w:before="156" w:after="156"/>
      </w:pPr>
      <w:r>
        <w:rPr>
          <w:rFonts w:hint="eastAsia"/>
        </w:rPr>
        <w:t>地裂缝活动性评价表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266"/>
        <w:gridCol w:w="5387"/>
        <w:gridCol w:w="2681"/>
      </w:tblGrid>
      <w:tr w14:paraId="458390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266" w:type="dxa"/>
            <w:vMerge w:val="restart"/>
            <w:tcBorders>
              <w:top w:val="single" w:color="auto" w:sz="8" w:space="0"/>
            </w:tcBorders>
            <w:shd w:val="clear" w:color="auto" w:fill="auto"/>
            <w:vAlign w:val="center"/>
          </w:tcPr>
          <w:p w14:paraId="027A2790">
            <w:pPr>
              <w:pStyle w:val="180"/>
            </w:pPr>
            <w:r>
              <w:rPr>
                <w:rFonts w:hint="eastAsia" w:ascii="Times New Roman"/>
                <w:szCs w:val="18"/>
              </w:rPr>
              <w:t>活动性分</w:t>
            </w:r>
            <w:r>
              <w:rPr>
                <w:rFonts w:ascii="Times New Roman"/>
                <w:szCs w:val="18"/>
              </w:rPr>
              <w:t>级</w:t>
            </w:r>
          </w:p>
        </w:tc>
        <w:tc>
          <w:tcPr>
            <w:tcW w:w="8068" w:type="dxa"/>
            <w:gridSpan w:val="2"/>
            <w:tcBorders>
              <w:top w:val="single" w:color="auto" w:sz="8" w:space="0"/>
              <w:bottom w:val="single" w:color="auto" w:sz="8" w:space="0"/>
            </w:tcBorders>
            <w:shd w:val="clear" w:color="auto" w:fill="auto"/>
            <w:vAlign w:val="center"/>
          </w:tcPr>
          <w:p w14:paraId="234C69CD">
            <w:pPr>
              <w:pStyle w:val="180"/>
            </w:pPr>
            <w:r>
              <w:rPr>
                <w:rFonts w:hint="eastAsia" w:ascii="Times New Roman"/>
                <w:szCs w:val="18"/>
              </w:rPr>
              <w:t>评价标准</w:t>
            </w:r>
          </w:p>
        </w:tc>
      </w:tr>
      <w:tr w14:paraId="034F63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34E4399">
            <w:pPr>
              <w:pStyle w:val="180"/>
            </w:pPr>
          </w:p>
        </w:tc>
        <w:tc>
          <w:tcPr>
            <w:tcW w:w="5387" w:type="dxa"/>
            <w:tcBorders>
              <w:top w:val="single" w:color="auto" w:sz="8" w:space="0"/>
            </w:tcBorders>
            <w:shd w:val="clear" w:color="auto" w:fill="auto"/>
            <w:vAlign w:val="center"/>
          </w:tcPr>
          <w:p w14:paraId="4C842983">
            <w:pPr>
              <w:pStyle w:val="180"/>
            </w:pPr>
            <w:r>
              <w:rPr>
                <w:rFonts w:hint="eastAsia" w:ascii="Times New Roman"/>
                <w:szCs w:val="18"/>
              </w:rPr>
              <w:t>地表破裂程度</w:t>
            </w:r>
          </w:p>
        </w:tc>
        <w:tc>
          <w:tcPr>
            <w:tcW w:w="2681" w:type="dxa"/>
            <w:tcBorders>
              <w:top w:val="single" w:color="auto" w:sz="8" w:space="0"/>
            </w:tcBorders>
            <w:shd w:val="clear" w:color="auto" w:fill="auto"/>
            <w:vAlign w:val="center"/>
          </w:tcPr>
          <w:p w14:paraId="053953C5">
            <w:pPr>
              <w:pStyle w:val="180"/>
            </w:pPr>
            <w:r>
              <w:rPr>
                <w:rFonts w:hint="eastAsia" w:ascii="Times New Roman"/>
                <w:szCs w:val="18"/>
              </w:rPr>
              <w:t>平均活动速率v （mm/a）</w:t>
            </w:r>
          </w:p>
        </w:tc>
      </w:tr>
      <w:tr w14:paraId="06FF4F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78" w:hRule="atLeast"/>
          <w:jc w:val="center"/>
        </w:trPr>
        <w:tc>
          <w:tcPr>
            <w:tcW w:w="1266" w:type="dxa"/>
            <w:shd w:val="clear" w:color="auto" w:fill="auto"/>
            <w:vAlign w:val="center"/>
          </w:tcPr>
          <w:p w14:paraId="17A891B9">
            <w:pPr>
              <w:pStyle w:val="180"/>
            </w:pPr>
            <w:r>
              <w:rPr>
                <w:rFonts w:hint="eastAsia" w:ascii="Times New Roman"/>
                <w:szCs w:val="18"/>
              </w:rPr>
              <w:t>Ⅰ（强烈）</w:t>
            </w:r>
          </w:p>
        </w:tc>
        <w:tc>
          <w:tcPr>
            <w:tcW w:w="5387" w:type="dxa"/>
            <w:shd w:val="clear" w:color="auto" w:fill="auto"/>
            <w:vAlign w:val="center"/>
          </w:tcPr>
          <w:p w14:paraId="38EB1B7C">
            <w:pPr>
              <w:pStyle w:val="180"/>
            </w:pPr>
            <w:r>
              <w:rPr>
                <w:rFonts w:hint="eastAsia" w:ascii="Times New Roman"/>
                <w:szCs w:val="18"/>
              </w:rPr>
              <w:t>地表明显开裂，垂直位错量或水平张开量大于50mm；管线错断或变形明显、建筑物开裂明显</w:t>
            </w:r>
          </w:p>
        </w:tc>
        <w:tc>
          <w:tcPr>
            <w:tcW w:w="2681" w:type="dxa"/>
            <w:shd w:val="clear" w:color="auto" w:fill="auto"/>
            <w:vAlign w:val="center"/>
          </w:tcPr>
          <w:p w14:paraId="2E8A3426">
            <w:pPr>
              <w:pStyle w:val="180"/>
              <w:rPr>
                <w:color w:val="000000" w:themeColor="text1"/>
                <w14:textFill>
                  <w14:solidFill>
                    <w14:schemeClr w14:val="tx1"/>
                  </w14:solidFill>
                </w14:textFill>
              </w:rPr>
            </w:pPr>
            <w:r>
              <w:rPr>
                <w:rFonts w:hint="eastAsia" w:hAnsi="宋体" w:cs="宋体"/>
                <w:color w:val="000000" w:themeColor="text1"/>
                <w:szCs w:val="18"/>
                <w14:textFill>
                  <w14:solidFill>
                    <w14:schemeClr w14:val="tx1"/>
                  </w14:solidFill>
                </w14:textFill>
              </w:rPr>
              <w:t>≥5</w:t>
            </w:r>
          </w:p>
        </w:tc>
      </w:tr>
      <w:tr w14:paraId="6825FA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78" w:hRule="atLeast"/>
          <w:jc w:val="center"/>
        </w:trPr>
        <w:tc>
          <w:tcPr>
            <w:tcW w:w="1266" w:type="dxa"/>
            <w:shd w:val="clear" w:color="auto" w:fill="auto"/>
            <w:vAlign w:val="center"/>
          </w:tcPr>
          <w:p w14:paraId="0BAAF552">
            <w:pPr>
              <w:pStyle w:val="180"/>
            </w:pPr>
            <w:r>
              <w:rPr>
                <w:rFonts w:hint="eastAsia" w:ascii="Times New Roman"/>
                <w:szCs w:val="18"/>
              </w:rPr>
              <w:t>Ⅱ（较强烈）</w:t>
            </w:r>
          </w:p>
        </w:tc>
        <w:tc>
          <w:tcPr>
            <w:tcW w:w="5387" w:type="dxa"/>
            <w:shd w:val="clear" w:color="auto" w:fill="auto"/>
            <w:vAlign w:val="center"/>
          </w:tcPr>
          <w:p w14:paraId="38920EAD">
            <w:pPr>
              <w:pStyle w:val="180"/>
            </w:pPr>
            <w:r>
              <w:rPr>
                <w:rFonts w:hint="eastAsia" w:ascii="Times New Roman"/>
                <w:szCs w:val="18"/>
              </w:rPr>
              <w:t>地表开裂，垂直位错量或水平张开量10mm～50mm；道路、建（构）筑物出现裂缝</w:t>
            </w:r>
          </w:p>
        </w:tc>
        <w:tc>
          <w:tcPr>
            <w:tcW w:w="2681" w:type="dxa"/>
            <w:shd w:val="clear" w:color="auto" w:fill="auto"/>
            <w:vAlign w:val="center"/>
          </w:tcPr>
          <w:p w14:paraId="5649CC0D">
            <w:pPr>
              <w:pStyle w:val="180"/>
              <w:rPr>
                <w:color w:val="000000" w:themeColor="text1"/>
                <w14:textFill>
                  <w14:solidFill>
                    <w14:schemeClr w14:val="tx1"/>
                  </w14:solidFill>
                </w14:textFill>
              </w:rPr>
            </w:pPr>
            <w:r>
              <w:rPr>
                <w:rFonts w:hint="eastAsia" w:hAnsi="宋体"/>
                <w:color w:val="000000" w:themeColor="text1"/>
                <w:szCs w:val="18"/>
                <w14:textFill>
                  <w14:solidFill>
                    <w14:schemeClr w14:val="tx1"/>
                  </w14:solidFill>
                </w14:textFill>
              </w:rPr>
              <w:t>1≤</w:t>
            </w:r>
            <w:r>
              <w:rPr>
                <w:rFonts w:hint="eastAsia" w:hAnsi="宋体"/>
                <w:i/>
                <w:color w:val="000000" w:themeColor="text1"/>
                <w:szCs w:val="18"/>
                <w14:textFill>
                  <w14:solidFill>
                    <w14:schemeClr w14:val="tx1"/>
                  </w14:solidFill>
                </w14:textFill>
              </w:rPr>
              <w:t>V</w:t>
            </w:r>
            <w:r>
              <w:rPr>
                <w:rFonts w:hint="eastAsia" w:hAnsi="宋体"/>
                <w:color w:val="000000" w:themeColor="text1"/>
                <w:szCs w:val="18"/>
                <w14:textFill>
                  <w14:solidFill>
                    <w14:schemeClr w14:val="tx1"/>
                  </w14:solidFill>
                </w14:textFill>
              </w:rPr>
              <w:t>＜5</w:t>
            </w:r>
          </w:p>
        </w:tc>
      </w:tr>
      <w:tr w14:paraId="64C07E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78" w:hRule="atLeast"/>
          <w:jc w:val="center"/>
        </w:trPr>
        <w:tc>
          <w:tcPr>
            <w:tcW w:w="1266" w:type="dxa"/>
            <w:shd w:val="clear" w:color="auto" w:fill="auto"/>
            <w:vAlign w:val="center"/>
          </w:tcPr>
          <w:p w14:paraId="1400EF56">
            <w:pPr>
              <w:pStyle w:val="180"/>
            </w:pPr>
            <w:r>
              <w:rPr>
                <w:rFonts w:hint="eastAsia" w:ascii="Times New Roman"/>
                <w:szCs w:val="18"/>
              </w:rPr>
              <w:t>Ⅲ（中等）</w:t>
            </w:r>
          </w:p>
        </w:tc>
        <w:tc>
          <w:tcPr>
            <w:tcW w:w="5387" w:type="dxa"/>
            <w:shd w:val="clear" w:color="auto" w:fill="auto"/>
            <w:vAlign w:val="center"/>
          </w:tcPr>
          <w:p w14:paraId="02EA7E07">
            <w:pPr>
              <w:pStyle w:val="180"/>
            </w:pPr>
            <w:r>
              <w:rPr>
                <w:rFonts w:hint="eastAsia" w:ascii="Times New Roman"/>
                <w:szCs w:val="18"/>
              </w:rPr>
              <w:t>地表可见裂缝，垂直位错量或水平张开量1mm～10mm；地表及建（构）筑物局部出现裂缝</w:t>
            </w:r>
          </w:p>
        </w:tc>
        <w:tc>
          <w:tcPr>
            <w:tcW w:w="2681" w:type="dxa"/>
            <w:shd w:val="clear" w:color="auto" w:fill="auto"/>
            <w:vAlign w:val="center"/>
          </w:tcPr>
          <w:p w14:paraId="78F18677">
            <w:pPr>
              <w:pStyle w:val="180"/>
              <w:rPr>
                <w:color w:val="000000" w:themeColor="text1"/>
                <w14:textFill>
                  <w14:solidFill>
                    <w14:schemeClr w14:val="tx1"/>
                  </w14:solidFill>
                </w14:textFill>
              </w:rPr>
            </w:pPr>
            <w:r>
              <w:rPr>
                <w:rFonts w:hint="eastAsia" w:hAnsi="宋体"/>
                <w:color w:val="000000" w:themeColor="text1"/>
                <w:szCs w:val="18"/>
                <w14:textFill>
                  <w14:solidFill>
                    <w14:schemeClr w14:val="tx1"/>
                  </w14:solidFill>
                </w14:textFill>
              </w:rPr>
              <w:t>0.1≤</w:t>
            </w:r>
            <w:r>
              <w:rPr>
                <w:rFonts w:hint="eastAsia" w:hAnsi="宋体"/>
                <w:i/>
                <w:color w:val="000000" w:themeColor="text1"/>
                <w:szCs w:val="18"/>
                <w14:textFill>
                  <w14:solidFill>
                    <w14:schemeClr w14:val="tx1"/>
                  </w14:solidFill>
                </w14:textFill>
              </w:rPr>
              <w:t>V</w:t>
            </w:r>
            <w:r>
              <w:rPr>
                <w:rFonts w:hint="eastAsia" w:hAnsi="宋体"/>
                <w:color w:val="000000" w:themeColor="text1"/>
                <w:szCs w:val="18"/>
                <w14:textFill>
                  <w14:solidFill>
                    <w14:schemeClr w14:val="tx1"/>
                  </w14:solidFill>
                </w14:textFill>
              </w:rPr>
              <w:t>＜1</w:t>
            </w:r>
          </w:p>
        </w:tc>
      </w:tr>
      <w:tr w14:paraId="39FCC3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78" w:hRule="atLeast"/>
          <w:jc w:val="center"/>
        </w:trPr>
        <w:tc>
          <w:tcPr>
            <w:tcW w:w="1266" w:type="dxa"/>
            <w:shd w:val="clear" w:color="auto" w:fill="auto"/>
            <w:vAlign w:val="center"/>
          </w:tcPr>
          <w:p w14:paraId="47CA0A39">
            <w:pPr>
              <w:pStyle w:val="180"/>
            </w:pPr>
            <w:r>
              <w:rPr>
                <w:rFonts w:hint="eastAsia" w:ascii="Times New Roman"/>
                <w:szCs w:val="18"/>
              </w:rPr>
              <w:t>Ⅳ（微弱）</w:t>
            </w:r>
          </w:p>
        </w:tc>
        <w:tc>
          <w:tcPr>
            <w:tcW w:w="5387" w:type="dxa"/>
            <w:shd w:val="clear" w:color="auto" w:fill="auto"/>
            <w:vAlign w:val="center"/>
          </w:tcPr>
          <w:p w14:paraId="2CF6FB15">
            <w:pPr>
              <w:pStyle w:val="180"/>
            </w:pPr>
            <w:r>
              <w:rPr>
                <w:rFonts w:hint="eastAsia" w:ascii="Times New Roman"/>
                <w:szCs w:val="18"/>
              </w:rPr>
              <w:t>未出现裂缝、地表局部地段可见微细破裂，垂直位错量或水平张开量小于1mm；建（构）筑物未受损</w:t>
            </w:r>
          </w:p>
        </w:tc>
        <w:tc>
          <w:tcPr>
            <w:tcW w:w="2681" w:type="dxa"/>
            <w:shd w:val="clear" w:color="auto" w:fill="auto"/>
            <w:vAlign w:val="center"/>
          </w:tcPr>
          <w:p w14:paraId="1A0B2E52">
            <w:pPr>
              <w:pStyle w:val="180"/>
              <w:rPr>
                <w:color w:val="000000" w:themeColor="text1"/>
                <w14:textFill>
                  <w14:solidFill>
                    <w14:schemeClr w14:val="tx1"/>
                  </w14:solidFill>
                </w14:textFill>
              </w:rPr>
            </w:pPr>
            <w:r>
              <w:rPr>
                <w:rFonts w:hint="eastAsia" w:hAnsi="宋体"/>
                <w:color w:val="000000" w:themeColor="text1"/>
                <w:szCs w:val="18"/>
                <w14:textFill>
                  <w14:solidFill>
                    <w14:schemeClr w14:val="tx1"/>
                  </w14:solidFill>
                </w14:textFill>
              </w:rPr>
              <w:t>＜0.1</w:t>
            </w:r>
          </w:p>
        </w:tc>
      </w:tr>
    </w:tbl>
    <w:p w14:paraId="66187F29">
      <w:pPr>
        <w:pStyle w:val="80"/>
        <w:spacing w:before="156" w:after="156"/>
      </w:pPr>
      <w:bookmarkStart w:id="352" w:name="_Toc168321626"/>
      <w:bookmarkStart w:id="353" w:name="_Toc168092302"/>
      <w:bookmarkStart w:id="354" w:name="_Toc176194184"/>
      <w:bookmarkStart w:id="355" w:name="_Toc178172388"/>
      <w:r>
        <w:rPr>
          <w:rFonts w:hint="eastAsia"/>
        </w:rPr>
        <w:t>易损性评价</w:t>
      </w:r>
      <w:bookmarkEnd w:id="352"/>
      <w:bookmarkEnd w:id="353"/>
      <w:bookmarkEnd w:id="354"/>
      <w:bookmarkEnd w:id="355"/>
    </w:p>
    <w:p w14:paraId="0060EF2A">
      <w:pPr>
        <w:pStyle w:val="79"/>
        <w:spacing w:before="156" w:after="156"/>
        <w:rPr>
          <w:rFonts w:ascii="Times New Roman"/>
          <w:szCs w:val="21"/>
        </w:rPr>
      </w:pPr>
      <w:r>
        <w:rPr>
          <w:rFonts w:ascii="Times New Roman"/>
          <w:szCs w:val="21"/>
        </w:rPr>
        <w:t>构筑物易损性</w:t>
      </w:r>
      <w:r>
        <w:rPr>
          <w:rFonts w:hint="eastAsia" w:ascii="Times New Roman"/>
          <w:szCs w:val="21"/>
        </w:rPr>
        <w:t>取值</w:t>
      </w:r>
      <w:r>
        <w:rPr>
          <w:rFonts w:ascii="Times New Roman"/>
          <w:szCs w:val="21"/>
        </w:rPr>
        <w:t>参照表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266"/>
        <w:gridCol w:w="1134"/>
        <w:gridCol w:w="1733"/>
        <w:gridCol w:w="1734"/>
        <w:gridCol w:w="1733"/>
        <w:gridCol w:w="1734"/>
      </w:tblGrid>
      <w:tr w14:paraId="67FC03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400" w:type="dxa"/>
            <w:gridSpan w:val="2"/>
            <w:vMerge w:val="restart"/>
            <w:tcBorders>
              <w:top w:val="single" w:color="auto" w:sz="8" w:space="0"/>
            </w:tcBorders>
            <w:shd w:val="clear" w:color="auto" w:fill="auto"/>
            <w:vAlign w:val="center"/>
          </w:tcPr>
          <w:p w14:paraId="6F08945E">
            <w:pPr>
              <w:pStyle w:val="180"/>
              <w:rPr>
                <w:rFonts w:ascii="Times New Roman"/>
                <w:szCs w:val="18"/>
              </w:rPr>
            </w:pPr>
            <w:r>
              <w:rPr>
                <w:rFonts w:hint="eastAsia"/>
              </w:rPr>
              <w:t>承灾体</w:t>
            </w:r>
          </w:p>
        </w:tc>
        <w:tc>
          <w:tcPr>
            <w:tcW w:w="6934" w:type="dxa"/>
            <w:gridSpan w:val="4"/>
            <w:tcBorders>
              <w:top w:val="single" w:color="auto" w:sz="8" w:space="0"/>
              <w:bottom w:val="single" w:color="auto" w:sz="8" w:space="0"/>
            </w:tcBorders>
          </w:tcPr>
          <w:p w14:paraId="3730D8DA">
            <w:pPr>
              <w:pStyle w:val="180"/>
            </w:pPr>
            <w:r>
              <w:rPr>
                <w:rFonts w:hint="eastAsia"/>
              </w:rPr>
              <w:t>易损性值</w:t>
            </w:r>
          </w:p>
        </w:tc>
      </w:tr>
      <w:tr w14:paraId="292F1A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400" w:type="dxa"/>
            <w:gridSpan w:val="2"/>
            <w:vMerge w:val="continue"/>
            <w:shd w:val="clear" w:color="auto" w:fill="auto"/>
            <w:vAlign w:val="center"/>
          </w:tcPr>
          <w:p w14:paraId="4A0D0998">
            <w:pPr>
              <w:pStyle w:val="180"/>
              <w:rPr>
                <w:rFonts w:ascii="Times New Roman"/>
                <w:szCs w:val="18"/>
              </w:rPr>
            </w:pPr>
          </w:p>
        </w:tc>
        <w:tc>
          <w:tcPr>
            <w:tcW w:w="1733" w:type="dxa"/>
            <w:tcBorders>
              <w:top w:val="single" w:color="auto" w:sz="8" w:space="0"/>
            </w:tcBorders>
          </w:tcPr>
          <w:p w14:paraId="7135F531">
            <w:pPr>
              <w:pStyle w:val="180"/>
            </w:pPr>
            <w:r>
              <w:rPr>
                <w:rFonts w:ascii="Times New Roman"/>
                <w:szCs w:val="18"/>
              </w:rPr>
              <w:t>无危害区</w:t>
            </w:r>
          </w:p>
        </w:tc>
        <w:tc>
          <w:tcPr>
            <w:tcW w:w="1734" w:type="dxa"/>
            <w:tcBorders>
              <w:top w:val="single" w:color="auto" w:sz="8" w:space="0"/>
            </w:tcBorders>
          </w:tcPr>
          <w:p w14:paraId="3E0C44FF">
            <w:pPr>
              <w:pStyle w:val="180"/>
            </w:pPr>
            <w:r>
              <w:rPr>
                <w:rFonts w:ascii="Times New Roman"/>
                <w:szCs w:val="18"/>
              </w:rPr>
              <w:t>轻微危害区</w:t>
            </w:r>
          </w:p>
        </w:tc>
        <w:tc>
          <w:tcPr>
            <w:tcW w:w="1733" w:type="dxa"/>
            <w:tcBorders>
              <w:top w:val="single" w:color="auto" w:sz="8" w:space="0"/>
            </w:tcBorders>
            <w:shd w:val="clear" w:color="auto" w:fill="auto"/>
            <w:vAlign w:val="center"/>
          </w:tcPr>
          <w:p w14:paraId="77BFCF90">
            <w:pPr>
              <w:pStyle w:val="180"/>
            </w:pPr>
            <w:r>
              <w:rPr>
                <w:rFonts w:ascii="Times New Roman"/>
                <w:szCs w:val="18"/>
              </w:rPr>
              <w:t>中等危害区</w:t>
            </w:r>
          </w:p>
        </w:tc>
        <w:tc>
          <w:tcPr>
            <w:tcW w:w="1734" w:type="dxa"/>
            <w:tcBorders>
              <w:top w:val="single" w:color="auto" w:sz="8" w:space="0"/>
            </w:tcBorders>
            <w:shd w:val="clear" w:color="auto" w:fill="auto"/>
            <w:vAlign w:val="center"/>
          </w:tcPr>
          <w:p w14:paraId="148ABADB">
            <w:pPr>
              <w:pStyle w:val="180"/>
            </w:pPr>
            <w:r>
              <w:rPr>
                <w:rFonts w:ascii="Times New Roman"/>
                <w:szCs w:val="18"/>
              </w:rPr>
              <w:t>严重危害区</w:t>
            </w:r>
          </w:p>
        </w:tc>
      </w:tr>
      <w:tr w14:paraId="399FAE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0F1D7FBD">
            <w:pPr>
              <w:pStyle w:val="180"/>
            </w:pPr>
            <w:r>
              <w:rPr>
                <w:rFonts w:ascii="Times New Roman"/>
                <w:szCs w:val="18"/>
              </w:rPr>
              <w:t>构筑物</w:t>
            </w:r>
          </w:p>
        </w:tc>
        <w:tc>
          <w:tcPr>
            <w:tcW w:w="1134" w:type="dxa"/>
          </w:tcPr>
          <w:p w14:paraId="79BA22B0">
            <w:pPr>
              <w:pStyle w:val="180"/>
            </w:pPr>
            <w:r>
              <w:rPr>
                <w:rFonts w:ascii="Times New Roman"/>
                <w:szCs w:val="18"/>
              </w:rPr>
              <w:t>钢结构</w:t>
            </w:r>
          </w:p>
        </w:tc>
        <w:tc>
          <w:tcPr>
            <w:tcW w:w="1733" w:type="dxa"/>
          </w:tcPr>
          <w:p w14:paraId="74D1C081">
            <w:pPr>
              <w:pStyle w:val="180"/>
            </w:pPr>
            <w:r>
              <w:rPr>
                <w:rFonts w:hint="eastAsia"/>
              </w:rPr>
              <w:t>0</w:t>
            </w:r>
          </w:p>
        </w:tc>
        <w:tc>
          <w:tcPr>
            <w:tcW w:w="1734" w:type="dxa"/>
          </w:tcPr>
          <w:p w14:paraId="2DD31DC2">
            <w:pPr>
              <w:pStyle w:val="180"/>
            </w:pPr>
            <w:r>
              <w:t>0</w:t>
            </w:r>
            <w:r>
              <w:rPr>
                <w:rFonts w:hint="eastAsia" w:hAnsi="宋体"/>
                <w:szCs w:val="18"/>
              </w:rPr>
              <w:t>～</w:t>
            </w:r>
            <w:r>
              <w:rPr>
                <w:rFonts w:hint="eastAsia"/>
              </w:rPr>
              <w:t>0</w:t>
            </w:r>
            <w:r>
              <w:t>.2</w:t>
            </w:r>
          </w:p>
        </w:tc>
        <w:tc>
          <w:tcPr>
            <w:tcW w:w="1733" w:type="dxa"/>
            <w:shd w:val="clear" w:color="auto" w:fill="auto"/>
            <w:vAlign w:val="center"/>
          </w:tcPr>
          <w:p w14:paraId="17296FEC">
            <w:pPr>
              <w:pStyle w:val="180"/>
            </w:pPr>
            <w:r>
              <w:t>0.2</w:t>
            </w:r>
            <w:r>
              <w:rPr>
                <w:rFonts w:hint="eastAsia" w:hAnsi="宋体"/>
                <w:szCs w:val="18"/>
              </w:rPr>
              <w:t>～</w:t>
            </w:r>
            <w:r>
              <w:rPr>
                <w:rFonts w:hint="eastAsia"/>
              </w:rPr>
              <w:t>0</w:t>
            </w:r>
            <w:r>
              <w:t>.4</w:t>
            </w:r>
          </w:p>
        </w:tc>
        <w:tc>
          <w:tcPr>
            <w:tcW w:w="1734" w:type="dxa"/>
            <w:shd w:val="clear" w:color="auto" w:fill="auto"/>
            <w:vAlign w:val="center"/>
          </w:tcPr>
          <w:p w14:paraId="2BB77F69">
            <w:pPr>
              <w:pStyle w:val="180"/>
            </w:pPr>
            <w:r>
              <w:t>0.4</w:t>
            </w:r>
            <w:r>
              <w:rPr>
                <w:rFonts w:hint="eastAsia" w:hAnsi="宋体"/>
                <w:szCs w:val="18"/>
              </w:rPr>
              <w:t>～</w:t>
            </w:r>
            <w:r>
              <w:rPr>
                <w:rFonts w:hint="eastAsia"/>
              </w:rPr>
              <w:t>0</w:t>
            </w:r>
            <w:r>
              <w:t>.6</w:t>
            </w:r>
          </w:p>
        </w:tc>
      </w:tr>
      <w:tr w14:paraId="156E33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3DF03F95">
            <w:pPr>
              <w:pStyle w:val="180"/>
            </w:pPr>
          </w:p>
        </w:tc>
        <w:tc>
          <w:tcPr>
            <w:tcW w:w="1134" w:type="dxa"/>
          </w:tcPr>
          <w:p w14:paraId="44C41A42">
            <w:pPr>
              <w:pStyle w:val="180"/>
            </w:pPr>
            <w:r>
              <w:rPr>
                <w:rFonts w:ascii="Times New Roman"/>
                <w:szCs w:val="18"/>
              </w:rPr>
              <w:t>钢混</w:t>
            </w:r>
            <w:r>
              <w:rPr>
                <w:rFonts w:hint="eastAsia" w:ascii="Times New Roman"/>
                <w:szCs w:val="18"/>
              </w:rPr>
              <w:t>结构</w:t>
            </w:r>
          </w:p>
        </w:tc>
        <w:tc>
          <w:tcPr>
            <w:tcW w:w="1733" w:type="dxa"/>
          </w:tcPr>
          <w:p w14:paraId="32303BBB">
            <w:pPr>
              <w:pStyle w:val="180"/>
            </w:pPr>
            <w:r>
              <w:rPr>
                <w:rFonts w:hint="eastAsia"/>
              </w:rPr>
              <w:t>0</w:t>
            </w:r>
          </w:p>
        </w:tc>
        <w:tc>
          <w:tcPr>
            <w:tcW w:w="1734" w:type="dxa"/>
          </w:tcPr>
          <w:p w14:paraId="7F704208">
            <w:pPr>
              <w:pStyle w:val="180"/>
            </w:pPr>
            <w:r>
              <w:t>0.2</w:t>
            </w:r>
            <w:r>
              <w:rPr>
                <w:rFonts w:hint="eastAsia" w:hAnsi="宋体"/>
                <w:szCs w:val="18"/>
              </w:rPr>
              <w:t>～</w:t>
            </w:r>
            <w:r>
              <w:rPr>
                <w:rFonts w:hint="eastAsia"/>
              </w:rPr>
              <w:t>0</w:t>
            </w:r>
            <w:r>
              <w:t>.4</w:t>
            </w:r>
          </w:p>
        </w:tc>
        <w:tc>
          <w:tcPr>
            <w:tcW w:w="1733" w:type="dxa"/>
            <w:shd w:val="clear" w:color="auto" w:fill="auto"/>
            <w:vAlign w:val="center"/>
          </w:tcPr>
          <w:p w14:paraId="10A22997">
            <w:pPr>
              <w:pStyle w:val="180"/>
            </w:pPr>
            <w:r>
              <w:t>0.4</w:t>
            </w:r>
            <w:r>
              <w:rPr>
                <w:rFonts w:hint="eastAsia" w:hAnsi="宋体"/>
                <w:szCs w:val="18"/>
              </w:rPr>
              <w:t>～</w:t>
            </w:r>
            <w:r>
              <w:rPr>
                <w:rFonts w:hint="eastAsia"/>
              </w:rPr>
              <w:t>0</w:t>
            </w:r>
            <w:r>
              <w:t>.6</w:t>
            </w:r>
          </w:p>
        </w:tc>
        <w:tc>
          <w:tcPr>
            <w:tcW w:w="1734" w:type="dxa"/>
            <w:shd w:val="clear" w:color="auto" w:fill="auto"/>
            <w:vAlign w:val="center"/>
          </w:tcPr>
          <w:p w14:paraId="382242EC">
            <w:pPr>
              <w:pStyle w:val="180"/>
            </w:pPr>
            <w:r>
              <w:t>0.6</w:t>
            </w:r>
            <w:r>
              <w:rPr>
                <w:rFonts w:hint="eastAsia" w:hAnsi="宋体"/>
                <w:szCs w:val="18"/>
              </w:rPr>
              <w:t>～</w:t>
            </w:r>
            <w:r>
              <w:rPr>
                <w:rFonts w:hint="eastAsia"/>
              </w:rPr>
              <w:t>0</w:t>
            </w:r>
            <w:r>
              <w:t>.8</w:t>
            </w:r>
          </w:p>
        </w:tc>
      </w:tr>
      <w:tr w14:paraId="03F071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3FA7439E">
            <w:pPr>
              <w:pStyle w:val="180"/>
            </w:pPr>
          </w:p>
        </w:tc>
        <w:tc>
          <w:tcPr>
            <w:tcW w:w="1134" w:type="dxa"/>
          </w:tcPr>
          <w:p w14:paraId="0ED9DC38">
            <w:pPr>
              <w:pStyle w:val="180"/>
            </w:pPr>
            <w:r>
              <w:rPr>
                <w:rFonts w:hint="eastAsia"/>
              </w:rPr>
              <w:t>砖混结构</w:t>
            </w:r>
          </w:p>
        </w:tc>
        <w:tc>
          <w:tcPr>
            <w:tcW w:w="1733" w:type="dxa"/>
          </w:tcPr>
          <w:p w14:paraId="56E1FF53">
            <w:pPr>
              <w:pStyle w:val="180"/>
            </w:pPr>
            <w:r>
              <w:rPr>
                <w:rFonts w:hint="eastAsia"/>
              </w:rPr>
              <w:t>0</w:t>
            </w:r>
          </w:p>
        </w:tc>
        <w:tc>
          <w:tcPr>
            <w:tcW w:w="1734" w:type="dxa"/>
          </w:tcPr>
          <w:p w14:paraId="370CE8B9">
            <w:pPr>
              <w:pStyle w:val="180"/>
            </w:pPr>
            <w:r>
              <w:t>0.4</w:t>
            </w:r>
            <w:r>
              <w:rPr>
                <w:rFonts w:hint="eastAsia" w:hAnsi="宋体"/>
                <w:szCs w:val="18"/>
              </w:rPr>
              <w:t>～</w:t>
            </w:r>
            <w:r>
              <w:rPr>
                <w:rFonts w:hint="eastAsia"/>
              </w:rPr>
              <w:t>0</w:t>
            </w:r>
            <w:r>
              <w:t>.6</w:t>
            </w:r>
          </w:p>
        </w:tc>
        <w:tc>
          <w:tcPr>
            <w:tcW w:w="1733" w:type="dxa"/>
            <w:shd w:val="clear" w:color="auto" w:fill="auto"/>
            <w:vAlign w:val="center"/>
          </w:tcPr>
          <w:p w14:paraId="0548C552">
            <w:pPr>
              <w:pStyle w:val="180"/>
            </w:pPr>
            <w:r>
              <w:rPr>
                <w:rFonts w:hint="eastAsia"/>
              </w:rPr>
              <w:t>0</w:t>
            </w:r>
            <w:r>
              <w:t>.6</w:t>
            </w:r>
            <w:r>
              <w:rPr>
                <w:rFonts w:hint="eastAsia" w:hAnsi="宋体"/>
                <w:szCs w:val="18"/>
              </w:rPr>
              <w:t>～</w:t>
            </w:r>
            <w:r>
              <w:rPr>
                <w:rFonts w:hint="eastAsia"/>
              </w:rPr>
              <w:t>0</w:t>
            </w:r>
            <w:r>
              <w:t>.8</w:t>
            </w:r>
          </w:p>
        </w:tc>
        <w:tc>
          <w:tcPr>
            <w:tcW w:w="1734" w:type="dxa"/>
            <w:shd w:val="clear" w:color="auto" w:fill="auto"/>
            <w:vAlign w:val="center"/>
          </w:tcPr>
          <w:p w14:paraId="53C69289">
            <w:pPr>
              <w:pStyle w:val="180"/>
            </w:pPr>
            <w:r>
              <w:t>0.8</w:t>
            </w:r>
            <w:r>
              <w:rPr>
                <w:rFonts w:hint="eastAsia" w:hAnsi="宋体"/>
                <w:szCs w:val="18"/>
              </w:rPr>
              <w:t>～</w:t>
            </w:r>
            <w:r>
              <w:rPr>
                <w:rFonts w:hint="eastAsia"/>
              </w:rPr>
              <w:t>1</w:t>
            </w:r>
          </w:p>
        </w:tc>
      </w:tr>
      <w:tr w14:paraId="4446C7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3A2C0808">
            <w:pPr>
              <w:pStyle w:val="180"/>
            </w:pPr>
          </w:p>
        </w:tc>
        <w:tc>
          <w:tcPr>
            <w:tcW w:w="1134" w:type="dxa"/>
          </w:tcPr>
          <w:p w14:paraId="463CFE7C">
            <w:pPr>
              <w:pStyle w:val="180"/>
            </w:pPr>
            <w:r>
              <w:rPr>
                <w:rFonts w:hint="eastAsia"/>
              </w:rPr>
              <w:t>泥木结构</w:t>
            </w:r>
          </w:p>
        </w:tc>
        <w:tc>
          <w:tcPr>
            <w:tcW w:w="1733" w:type="dxa"/>
          </w:tcPr>
          <w:p w14:paraId="2CFBC43F">
            <w:pPr>
              <w:pStyle w:val="180"/>
            </w:pPr>
            <w:r>
              <w:rPr>
                <w:rFonts w:hint="eastAsia"/>
              </w:rPr>
              <w:t>0</w:t>
            </w:r>
          </w:p>
        </w:tc>
        <w:tc>
          <w:tcPr>
            <w:tcW w:w="1734" w:type="dxa"/>
          </w:tcPr>
          <w:p w14:paraId="51A47FA0">
            <w:pPr>
              <w:pStyle w:val="180"/>
            </w:pPr>
            <w:r>
              <w:t>0.6</w:t>
            </w:r>
            <w:r>
              <w:rPr>
                <w:rFonts w:hint="eastAsia" w:hAnsi="宋体"/>
                <w:szCs w:val="18"/>
              </w:rPr>
              <w:t>～</w:t>
            </w:r>
            <w:r>
              <w:rPr>
                <w:rFonts w:hint="eastAsia"/>
              </w:rPr>
              <w:t>0</w:t>
            </w:r>
            <w:r>
              <w:t>.8</w:t>
            </w:r>
          </w:p>
        </w:tc>
        <w:tc>
          <w:tcPr>
            <w:tcW w:w="1733" w:type="dxa"/>
            <w:shd w:val="clear" w:color="auto" w:fill="auto"/>
            <w:vAlign w:val="center"/>
          </w:tcPr>
          <w:p w14:paraId="2EC0F5B1">
            <w:pPr>
              <w:pStyle w:val="180"/>
            </w:pPr>
            <w:r>
              <w:t>0.8</w:t>
            </w:r>
            <w:r>
              <w:rPr>
                <w:rFonts w:hint="eastAsia" w:hAnsi="宋体"/>
                <w:szCs w:val="18"/>
              </w:rPr>
              <w:t>～</w:t>
            </w:r>
            <w:r>
              <w:t>1</w:t>
            </w:r>
          </w:p>
        </w:tc>
        <w:tc>
          <w:tcPr>
            <w:tcW w:w="1734" w:type="dxa"/>
            <w:shd w:val="clear" w:color="auto" w:fill="auto"/>
            <w:vAlign w:val="center"/>
          </w:tcPr>
          <w:p w14:paraId="3B9E559A">
            <w:pPr>
              <w:pStyle w:val="180"/>
            </w:pPr>
            <w:r>
              <w:rPr>
                <w:rFonts w:hint="eastAsia"/>
              </w:rPr>
              <w:t>1</w:t>
            </w:r>
          </w:p>
        </w:tc>
      </w:tr>
      <w:tr w14:paraId="277ACD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6A66B2FA">
            <w:pPr>
              <w:pStyle w:val="180"/>
            </w:pPr>
            <w:r>
              <w:rPr>
                <w:rFonts w:hint="eastAsia"/>
              </w:rPr>
              <w:t>基础设施</w:t>
            </w:r>
          </w:p>
        </w:tc>
        <w:tc>
          <w:tcPr>
            <w:tcW w:w="1134" w:type="dxa"/>
          </w:tcPr>
          <w:p w14:paraId="00ED0215">
            <w:pPr>
              <w:pStyle w:val="180"/>
            </w:pPr>
            <w:r>
              <w:rPr>
                <w:rFonts w:hint="eastAsia"/>
              </w:rPr>
              <w:t>铁路</w:t>
            </w:r>
          </w:p>
        </w:tc>
        <w:tc>
          <w:tcPr>
            <w:tcW w:w="1733" w:type="dxa"/>
          </w:tcPr>
          <w:p w14:paraId="1F758A44">
            <w:pPr>
              <w:pStyle w:val="180"/>
            </w:pPr>
            <w:r>
              <w:rPr>
                <w:rFonts w:hint="eastAsia"/>
              </w:rPr>
              <w:t>0</w:t>
            </w:r>
          </w:p>
        </w:tc>
        <w:tc>
          <w:tcPr>
            <w:tcW w:w="1734" w:type="dxa"/>
          </w:tcPr>
          <w:p w14:paraId="7B4613BD">
            <w:pPr>
              <w:pStyle w:val="180"/>
            </w:pPr>
            <w:r>
              <w:t>0.1</w:t>
            </w:r>
            <w:r>
              <w:rPr>
                <w:rFonts w:hint="eastAsia" w:hAnsi="宋体"/>
                <w:szCs w:val="18"/>
              </w:rPr>
              <w:t>～</w:t>
            </w:r>
            <w:r>
              <w:t>0.2</w:t>
            </w:r>
          </w:p>
        </w:tc>
        <w:tc>
          <w:tcPr>
            <w:tcW w:w="1733" w:type="dxa"/>
            <w:shd w:val="clear" w:color="auto" w:fill="auto"/>
            <w:vAlign w:val="center"/>
          </w:tcPr>
          <w:p w14:paraId="4A70387A">
            <w:pPr>
              <w:pStyle w:val="180"/>
            </w:pPr>
            <w:r>
              <w:rPr>
                <w:rFonts w:hint="eastAsia"/>
              </w:rPr>
              <w:t>0</w:t>
            </w:r>
            <w:r>
              <w:t>.2</w:t>
            </w:r>
            <w:r>
              <w:rPr>
                <w:rFonts w:hint="eastAsia" w:hAnsi="宋体"/>
                <w:szCs w:val="18"/>
              </w:rPr>
              <w:t>～</w:t>
            </w:r>
            <w:r>
              <w:t>0.5</w:t>
            </w:r>
          </w:p>
        </w:tc>
        <w:tc>
          <w:tcPr>
            <w:tcW w:w="1734" w:type="dxa"/>
            <w:shd w:val="clear" w:color="auto" w:fill="auto"/>
            <w:vAlign w:val="center"/>
          </w:tcPr>
          <w:p w14:paraId="4E337776">
            <w:pPr>
              <w:pStyle w:val="180"/>
            </w:pPr>
            <w:r>
              <w:rPr>
                <w:rFonts w:hint="eastAsia"/>
              </w:rPr>
              <w:t>0</w:t>
            </w:r>
            <w:r>
              <w:t>.5</w:t>
            </w:r>
            <w:r>
              <w:rPr>
                <w:rFonts w:hint="eastAsia" w:hAnsi="宋体"/>
                <w:szCs w:val="18"/>
              </w:rPr>
              <w:t>～</w:t>
            </w:r>
            <w:r>
              <w:t>0.8</w:t>
            </w:r>
          </w:p>
        </w:tc>
      </w:tr>
      <w:tr w14:paraId="6A3AB3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2D1FD801">
            <w:pPr>
              <w:pStyle w:val="180"/>
            </w:pPr>
          </w:p>
        </w:tc>
        <w:tc>
          <w:tcPr>
            <w:tcW w:w="1134" w:type="dxa"/>
          </w:tcPr>
          <w:p w14:paraId="39AE5F1A">
            <w:pPr>
              <w:pStyle w:val="180"/>
            </w:pPr>
            <w:r>
              <w:rPr>
                <w:rFonts w:hint="eastAsia"/>
              </w:rPr>
              <w:t>公路</w:t>
            </w:r>
          </w:p>
        </w:tc>
        <w:tc>
          <w:tcPr>
            <w:tcW w:w="1733" w:type="dxa"/>
          </w:tcPr>
          <w:p w14:paraId="71833FE2">
            <w:pPr>
              <w:pStyle w:val="180"/>
            </w:pPr>
            <w:r>
              <w:rPr>
                <w:rFonts w:hint="eastAsia"/>
              </w:rPr>
              <w:t>0</w:t>
            </w:r>
          </w:p>
        </w:tc>
        <w:tc>
          <w:tcPr>
            <w:tcW w:w="1734" w:type="dxa"/>
          </w:tcPr>
          <w:p w14:paraId="5336C054">
            <w:pPr>
              <w:pStyle w:val="180"/>
            </w:pPr>
            <w:r>
              <w:t>0.1</w:t>
            </w:r>
            <w:r>
              <w:rPr>
                <w:rFonts w:hint="eastAsia" w:hAnsi="宋体"/>
                <w:szCs w:val="18"/>
              </w:rPr>
              <w:t>～</w:t>
            </w:r>
            <w:r>
              <w:t>0.3</w:t>
            </w:r>
          </w:p>
        </w:tc>
        <w:tc>
          <w:tcPr>
            <w:tcW w:w="1733" w:type="dxa"/>
            <w:shd w:val="clear" w:color="auto" w:fill="auto"/>
            <w:vAlign w:val="center"/>
          </w:tcPr>
          <w:p w14:paraId="767D40D6">
            <w:pPr>
              <w:pStyle w:val="180"/>
            </w:pPr>
            <w:r>
              <w:t>0.3</w:t>
            </w:r>
            <w:r>
              <w:rPr>
                <w:rFonts w:hint="eastAsia" w:hAnsi="宋体"/>
                <w:szCs w:val="18"/>
              </w:rPr>
              <w:t>～</w:t>
            </w:r>
            <w:r>
              <w:t>0.6</w:t>
            </w:r>
          </w:p>
        </w:tc>
        <w:tc>
          <w:tcPr>
            <w:tcW w:w="1734" w:type="dxa"/>
            <w:shd w:val="clear" w:color="auto" w:fill="auto"/>
            <w:vAlign w:val="center"/>
          </w:tcPr>
          <w:p w14:paraId="3E2D4847">
            <w:pPr>
              <w:pStyle w:val="180"/>
            </w:pPr>
            <w:r>
              <w:t>0.6</w:t>
            </w:r>
            <w:r>
              <w:rPr>
                <w:rFonts w:hint="eastAsia" w:hAnsi="宋体"/>
                <w:szCs w:val="18"/>
              </w:rPr>
              <w:t>～</w:t>
            </w:r>
            <w:r>
              <w:t>1</w:t>
            </w:r>
          </w:p>
        </w:tc>
      </w:tr>
      <w:tr w14:paraId="6026CB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6901F1BA">
            <w:pPr>
              <w:pStyle w:val="180"/>
            </w:pPr>
          </w:p>
        </w:tc>
        <w:tc>
          <w:tcPr>
            <w:tcW w:w="1134" w:type="dxa"/>
          </w:tcPr>
          <w:p w14:paraId="0AA34EF4">
            <w:pPr>
              <w:pStyle w:val="180"/>
            </w:pPr>
            <w:r>
              <w:rPr>
                <w:rFonts w:hint="eastAsia"/>
              </w:rPr>
              <w:t>输水线路</w:t>
            </w:r>
          </w:p>
        </w:tc>
        <w:tc>
          <w:tcPr>
            <w:tcW w:w="1733" w:type="dxa"/>
          </w:tcPr>
          <w:p w14:paraId="3618AD13">
            <w:pPr>
              <w:pStyle w:val="180"/>
            </w:pPr>
            <w:r>
              <w:rPr>
                <w:rFonts w:hint="eastAsia"/>
              </w:rPr>
              <w:t>0</w:t>
            </w:r>
          </w:p>
        </w:tc>
        <w:tc>
          <w:tcPr>
            <w:tcW w:w="1734" w:type="dxa"/>
          </w:tcPr>
          <w:p w14:paraId="6BB481D9">
            <w:pPr>
              <w:pStyle w:val="180"/>
            </w:pPr>
            <w:r>
              <w:t>0.1</w:t>
            </w:r>
            <w:r>
              <w:rPr>
                <w:rFonts w:hint="eastAsia" w:hAnsi="宋体"/>
                <w:szCs w:val="18"/>
              </w:rPr>
              <w:t>～</w:t>
            </w:r>
            <w:r>
              <w:t>0.3</w:t>
            </w:r>
          </w:p>
        </w:tc>
        <w:tc>
          <w:tcPr>
            <w:tcW w:w="1733" w:type="dxa"/>
            <w:shd w:val="clear" w:color="auto" w:fill="auto"/>
            <w:vAlign w:val="center"/>
          </w:tcPr>
          <w:p w14:paraId="06E65AC5">
            <w:pPr>
              <w:pStyle w:val="180"/>
            </w:pPr>
            <w:r>
              <w:t>0.2</w:t>
            </w:r>
            <w:r>
              <w:rPr>
                <w:rFonts w:hint="eastAsia" w:hAnsi="宋体"/>
                <w:szCs w:val="18"/>
              </w:rPr>
              <w:t>～</w:t>
            </w:r>
            <w:r>
              <w:t>0.4</w:t>
            </w:r>
          </w:p>
        </w:tc>
        <w:tc>
          <w:tcPr>
            <w:tcW w:w="1734" w:type="dxa"/>
            <w:shd w:val="clear" w:color="auto" w:fill="auto"/>
            <w:vAlign w:val="center"/>
          </w:tcPr>
          <w:p w14:paraId="4E34F1A3">
            <w:pPr>
              <w:pStyle w:val="180"/>
            </w:pPr>
            <w:r>
              <w:t>0.4</w:t>
            </w:r>
            <w:r>
              <w:rPr>
                <w:rFonts w:hint="eastAsia" w:hAnsi="宋体"/>
                <w:szCs w:val="18"/>
              </w:rPr>
              <w:t>～</w:t>
            </w:r>
            <w:r>
              <w:t>0.7</w:t>
            </w:r>
          </w:p>
        </w:tc>
      </w:tr>
      <w:tr w14:paraId="0BF2B0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4B519DE3">
            <w:pPr>
              <w:pStyle w:val="180"/>
            </w:pPr>
          </w:p>
        </w:tc>
        <w:tc>
          <w:tcPr>
            <w:tcW w:w="1134" w:type="dxa"/>
          </w:tcPr>
          <w:p w14:paraId="1522FCA9">
            <w:pPr>
              <w:pStyle w:val="180"/>
            </w:pPr>
            <w:r>
              <w:rPr>
                <w:rFonts w:hint="eastAsia"/>
              </w:rPr>
              <w:t>输电线路</w:t>
            </w:r>
          </w:p>
        </w:tc>
        <w:tc>
          <w:tcPr>
            <w:tcW w:w="1733" w:type="dxa"/>
          </w:tcPr>
          <w:p w14:paraId="7A43A826">
            <w:pPr>
              <w:pStyle w:val="180"/>
            </w:pPr>
            <w:r>
              <w:rPr>
                <w:rFonts w:hint="eastAsia"/>
              </w:rPr>
              <w:t>0</w:t>
            </w:r>
          </w:p>
        </w:tc>
        <w:tc>
          <w:tcPr>
            <w:tcW w:w="1734" w:type="dxa"/>
          </w:tcPr>
          <w:p w14:paraId="1096A1F5">
            <w:pPr>
              <w:pStyle w:val="180"/>
            </w:pPr>
            <w:r>
              <w:t>0.1</w:t>
            </w:r>
            <w:r>
              <w:rPr>
                <w:rFonts w:hint="eastAsia" w:hAnsi="宋体"/>
                <w:szCs w:val="18"/>
              </w:rPr>
              <w:t>～</w:t>
            </w:r>
            <w:r>
              <w:t>0.3</w:t>
            </w:r>
          </w:p>
        </w:tc>
        <w:tc>
          <w:tcPr>
            <w:tcW w:w="1733" w:type="dxa"/>
            <w:shd w:val="clear" w:color="auto" w:fill="auto"/>
            <w:vAlign w:val="center"/>
          </w:tcPr>
          <w:p w14:paraId="7DCFFA0F">
            <w:pPr>
              <w:pStyle w:val="180"/>
            </w:pPr>
            <w:r>
              <w:t>0.2</w:t>
            </w:r>
            <w:r>
              <w:rPr>
                <w:rFonts w:hint="eastAsia" w:hAnsi="宋体"/>
                <w:szCs w:val="18"/>
              </w:rPr>
              <w:t>～</w:t>
            </w:r>
            <w:r>
              <w:t>0.4</w:t>
            </w:r>
          </w:p>
        </w:tc>
        <w:tc>
          <w:tcPr>
            <w:tcW w:w="1734" w:type="dxa"/>
            <w:shd w:val="clear" w:color="auto" w:fill="auto"/>
            <w:vAlign w:val="center"/>
          </w:tcPr>
          <w:p w14:paraId="2EB90B49">
            <w:pPr>
              <w:pStyle w:val="180"/>
            </w:pPr>
            <w:r>
              <w:t>0.4</w:t>
            </w:r>
            <w:r>
              <w:rPr>
                <w:rFonts w:hint="eastAsia" w:hAnsi="宋体"/>
                <w:szCs w:val="18"/>
              </w:rPr>
              <w:t>～</w:t>
            </w:r>
            <w:r>
              <w:t>0.7</w:t>
            </w:r>
          </w:p>
        </w:tc>
      </w:tr>
      <w:tr w14:paraId="5C96FB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78694B07">
            <w:pPr>
              <w:pStyle w:val="180"/>
            </w:pPr>
          </w:p>
        </w:tc>
        <w:tc>
          <w:tcPr>
            <w:tcW w:w="1134" w:type="dxa"/>
          </w:tcPr>
          <w:p w14:paraId="7A703E68">
            <w:pPr>
              <w:pStyle w:val="180"/>
            </w:pPr>
            <w:r>
              <w:rPr>
                <w:rFonts w:hint="eastAsia"/>
              </w:rPr>
              <w:t>通讯线路</w:t>
            </w:r>
          </w:p>
        </w:tc>
        <w:tc>
          <w:tcPr>
            <w:tcW w:w="1733" w:type="dxa"/>
          </w:tcPr>
          <w:p w14:paraId="3F170727">
            <w:pPr>
              <w:pStyle w:val="180"/>
            </w:pPr>
            <w:r>
              <w:rPr>
                <w:rFonts w:hint="eastAsia"/>
              </w:rPr>
              <w:t>0</w:t>
            </w:r>
          </w:p>
        </w:tc>
        <w:tc>
          <w:tcPr>
            <w:tcW w:w="1734" w:type="dxa"/>
          </w:tcPr>
          <w:p w14:paraId="717A483E">
            <w:pPr>
              <w:pStyle w:val="180"/>
            </w:pPr>
            <w:r>
              <w:t>0.1</w:t>
            </w:r>
            <w:r>
              <w:rPr>
                <w:rFonts w:hint="eastAsia" w:hAnsi="宋体"/>
                <w:szCs w:val="18"/>
              </w:rPr>
              <w:t>～</w:t>
            </w:r>
            <w:r>
              <w:t>0.2</w:t>
            </w:r>
          </w:p>
        </w:tc>
        <w:tc>
          <w:tcPr>
            <w:tcW w:w="1733" w:type="dxa"/>
            <w:shd w:val="clear" w:color="auto" w:fill="auto"/>
            <w:vAlign w:val="center"/>
          </w:tcPr>
          <w:p w14:paraId="7B3273FF">
            <w:pPr>
              <w:pStyle w:val="180"/>
            </w:pPr>
            <w:r>
              <w:t>0.2</w:t>
            </w:r>
            <w:r>
              <w:rPr>
                <w:rFonts w:hint="eastAsia" w:hAnsi="宋体"/>
                <w:szCs w:val="18"/>
              </w:rPr>
              <w:t>～</w:t>
            </w:r>
            <w:r>
              <w:t>0.4</w:t>
            </w:r>
          </w:p>
        </w:tc>
        <w:tc>
          <w:tcPr>
            <w:tcW w:w="1734" w:type="dxa"/>
            <w:shd w:val="clear" w:color="auto" w:fill="auto"/>
            <w:vAlign w:val="center"/>
          </w:tcPr>
          <w:p w14:paraId="5998F90B">
            <w:pPr>
              <w:pStyle w:val="180"/>
            </w:pPr>
            <w:r>
              <w:t>0.3</w:t>
            </w:r>
            <w:r>
              <w:rPr>
                <w:rFonts w:hint="eastAsia" w:hAnsi="宋体"/>
                <w:szCs w:val="18"/>
              </w:rPr>
              <w:t>～</w:t>
            </w:r>
            <w:r>
              <w:t>0.6</w:t>
            </w:r>
          </w:p>
        </w:tc>
      </w:tr>
      <w:tr w14:paraId="484B74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shd w:val="clear" w:color="auto" w:fill="auto"/>
            <w:vAlign w:val="center"/>
          </w:tcPr>
          <w:p w14:paraId="272CFC8D">
            <w:pPr>
              <w:pStyle w:val="180"/>
            </w:pPr>
            <w:r>
              <w:rPr>
                <w:rFonts w:hint="eastAsia"/>
              </w:rPr>
              <w:t>其他</w:t>
            </w:r>
          </w:p>
        </w:tc>
        <w:tc>
          <w:tcPr>
            <w:tcW w:w="1134" w:type="dxa"/>
          </w:tcPr>
          <w:p w14:paraId="03E185B8">
            <w:pPr>
              <w:pStyle w:val="180"/>
            </w:pPr>
            <w:r>
              <w:rPr>
                <w:rFonts w:hint="eastAsia"/>
              </w:rPr>
              <w:t>耕地</w:t>
            </w:r>
          </w:p>
        </w:tc>
        <w:tc>
          <w:tcPr>
            <w:tcW w:w="1733" w:type="dxa"/>
          </w:tcPr>
          <w:p w14:paraId="7DD384CF">
            <w:pPr>
              <w:pStyle w:val="180"/>
            </w:pPr>
            <w:r>
              <w:rPr>
                <w:rFonts w:hint="eastAsia"/>
              </w:rPr>
              <w:t>0</w:t>
            </w:r>
          </w:p>
        </w:tc>
        <w:tc>
          <w:tcPr>
            <w:tcW w:w="1734" w:type="dxa"/>
          </w:tcPr>
          <w:p w14:paraId="369AF668">
            <w:pPr>
              <w:pStyle w:val="180"/>
            </w:pPr>
            <w:r>
              <w:t>0.2</w:t>
            </w:r>
            <w:r>
              <w:rPr>
                <w:rFonts w:hint="eastAsia" w:hAnsi="宋体"/>
                <w:szCs w:val="18"/>
              </w:rPr>
              <w:t>～</w:t>
            </w:r>
            <w:r>
              <w:rPr>
                <w:rFonts w:hint="eastAsia"/>
              </w:rPr>
              <w:t>0</w:t>
            </w:r>
            <w:r>
              <w:t>.4</w:t>
            </w:r>
          </w:p>
        </w:tc>
        <w:tc>
          <w:tcPr>
            <w:tcW w:w="1733" w:type="dxa"/>
            <w:shd w:val="clear" w:color="auto" w:fill="auto"/>
            <w:vAlign w:val="center"/>
          </w:tcPr>
          <w:p w14:paraId="71EBBB56">
            <w:pPr>
              <w:pStyle w:val="180"/>
            </w:pPr>
            <w:r>
              <w:t>0.4</w:t>
            </w:r>
            <w:r>
              <w:rPr>
                <w:rFonts w:hint="eastAsia" w:hAnsi="宋体"/>
                <w:szCs w:val="18"/>
              </w:rPr>
              <w:t>～</w:t>
            </w:r>
            <w:r>
              <w:rPr>
                <w:rFonts w:hint="eastAsia"/>
              </w:rPr>
              <w:t>0</w:t>
            </w:r>
            <w:r>
              <w:t>.7</w:t>
            </w:r>
          </w:p>
        </w:tc>
        <w:tc>
          <w:tcPr>
            <w:tcW w:w="1734" w:type="dxa"/>
            <w:shd w:val="clear" w:color="auto" w:fill="auto"/>
            <w:vAlign w:val="center"/>
          </w:tcPr>
          <w:p w14:paraId="7B7EBDFC">
            <w:pPr>
              <w:pStyle w:val="180"/>
            </w:pPr>
            <w:r>
              <w:t>0.7</w:t>
            </w:r>
            <w:r>
              <w:rPr>
                <w:rFonts w:hint="eastAsia" w:hAnsi="宋体"/>
                <w:szCs w:val="18"/>
              </w:rPr>
              <w:t>～</w:t>
            </w:r>
            <w:r>
              <w:t>1</w:t>
            </w:r>
          </w:p>
        </w:tc>
      </w:tr>
      <w:tr w14:paraId="2B6EA9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11C2C60D">
            <w:pPr>
              <w:pStyle w:val="180"/>
            </w:pPr>
          </w:p>
        </w:tc>
        <w:tc>
          <w:tcPr>
            <w:tcW w:w="1134" w:type="dxa"/>
          </w:tcPr>
          <w:p w14:paraId="7834941F">
            <w:pPr>
              <w:pStyle w:val="180"/>
            </w:pPr>
            <w:r>
              <w:rPr>
                <w:rFonts w:hint="eastAsia"/>
              </w:rPr>
              <w:t>林地</w:t>
            </w:r>
          </w:p>
        </w:tc>
        <w:tc>
          <w:tcPr>
            <w:tcW w:w="1733" w:type="dxa"/>
          </w:tcPr>
          <w:p w14:paraId="14235A55">
            <w:pPr>
              <w:pStyle w:val="180"/>
            </w:pPr>
            <w:r>
              <w:rPr>
                <w:rFonts w:hint="eastAsia"/>
              </w:rPr>
              <w:t>0</w:t>
            </w:r>
          </w:p>
        </w:tc>
        <w:tc>
          <w:tcPr>
            <w:tcW w:w="1734" w:type="dxa"/>
          </w:tcPr>
          <w:p w14:paraId="2B4D261A">
            <w:pPr>
              <w:pStyle w:val="180"/>
            </w:pPr>
            <w:r>
              <w:rPr>
                <w:rFonts w:hint="eastAsia"/>
              </w:rPr>
              <w:t>0</w:t>
            </w:r>
            <w:r>
              <w:rPr>
                <w:rFonts w:hint="eastAsia" w:hAnsi="宋体"/>
                <w:szCs w:val="18"/>
              </w:rPr>
              <w:t>～</w:t>
            </w:r>
            <w:r>
              <w:t>0.2</w:t>
            </w:r>
          </w:p>
        </w:tc>
        <w:tc>
          <w:tcPr>
            <w:tcW w:w="1733" w:type="dxa"/>
            <w:shd w:val="clear" w:color="auto" w:fill="auto"/>
            <w:vAlign w:val="center"/>
          </w:tcPr>
          <w:p w14:paraId="49BB8844">
            <w:pPr>
              <w:pStyle w:val="180"/>
            </w:pPr>
            <w:r>
              <w:t>0.2</w:t>
            </w:r>
            <w:r>
              <w:rPr>
                <w:rFonts w:hint="eastAsia" w:hAnsi="宋体"/>
                <w:szCs w:val="18"/>
              </w:rPr>
              <w:t>～</w:t>
            </w:r>
            <w:r>
              <w:rPr>
                <w:rFonts w:hint="eastAsia"/>
              </w:rPr>
              <w:t>0</w:t>
            </w:r>
            <w:r>
              <w:t>.4</w:t>
            </w:r>
          </w:p>
        </w:tc>
        <w:tc>
          <w:tcPr>
            <w:tcW w:w="1734" w:type="dxa"/>
            <w:shd w:val="clear" w:color="auto" w:fill="auto"/>
            <w:vAlign w:val="center"/>
          </w:tcPr>
          <w:p w14:paraId="3A6763DB">
            <w:pPr>
              <w:pStyle w:val="180"/>
            </w:pPr>
            <w:r>
              <w:t>0.4</w:t>
            </w:r>
            <w:r>
              <w:rPr>
                <w:rFonts w:hint="eastAsia" w:hAnsi="宋体"/>
                <w:szCs w:val="18"/>
              </w:rPr>
              <w:t>～</w:t>
            </w:r>
            <w:r>
              <w:rPr>
                <w:rFonts w:hint="eastAsia"/>
              </w:rPr>
              <w:t>0</w:t>
            </w:r>
            <w:r>
              <w:t>.6</w:t>
            </w:r>
          </w:p>
        </w:tc>
      </w:tr>
      <w:tr w14:paraId="4E7EF9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14:paraId="4F6A0871">
            <w:pPr>
              <w:pStyle w:val="180"/>
            </w:pPr>
          </w:p>
        </w:tc>
        <w:tc>
          <w:tcPr>
            <w:tcW w:w="1134" w:type="dxa"/>
          </w:tcPr>
          <w:p w14:paraId="31D2A893">
            <w:pPr>
              <w:pStyle w:val="180"/>
            </w:pPr>
            <w:r>
              <w:rPr>
                <w:rFonts w:hint="eastAsia"/>
              </w:rPr>
              <w:t>景区</w:t>
            </w:r>
          </w:p>
        </w:tc>
        <w:tc>
          <w:tcPr>
            <w:tcW w:w="1733" w:type="dxa"/>
          </w:tcPr>
          <w:p w14:paraId="7999DADA">
            <w:pPr>
              <w:pStyle w:val="180"/>
            </w:pPr>
            <w:r>
              <w:rPr>
                <w:rFonts w:hint="eastAsia"/>
              </w:rPr>
              <w:t>0</w:t>
            </w:r>
          </w:p>
        </w:tc>
        <w:tc>
          <w:tcPr>
            <w:tcW w:w="1734" w:type="dxa"/>
          </w:tcPr>
          <w:p w14:paraId="1E6DDA07">
            <w:pPr>
              <w:pStyle w:val="180"/>
            </w:pPr>
            <w:r>
              <w:t>0.2</w:t>
            </w:r>
            <w:r>
              <w:rPr>
                <w:rFonts w:hint="eastAsia" w:hAnsi="宋体"/>
                <w:szCs w:val="18"/>
              </w:rPr>
              <w:t>～</w:t>
            </w:r>
            <w:r>
              <w:rPr>
                <w:rFonts w:hint="eastAsia"/>
              </w:rPr>
              <w:t>0</w:t>
            </w:r>
            <w:r>
              <w:t>.4</w:t>
            </w:r>
          </w:p>
        </w:tc>
        <w:tc>
          <w:tcPr>
            <w:tcW w:w="1733" w:type="dxa"/>
            <w:shd w:val="clear" w:color="auto" w:fill="auto"/>
            <w:vAlign w:val="center"/>
          </w:tcPr>
          <w:p w14:paraId="775209B1">
            <w:pPr>
              <w:pStyle w:val="180"/>
            </w:pPr>
            <w:r>
              <w:t>0.4</w:t>
            </w:r>
            <w:r>
              <w:rPr>
                <w:rFonts w:hint="eastAsia" w:hAnsi="宋体"/>
                <w:szCs w:val="18"/>
              </w:rPr>
              <w:t>～</w:t>
            </w:r>
            <w:r>
              <w:rPr>
                <w:rFonts w:hint="eastAsia"/>
              </w:rPr>
              <w:t>0</w:t>
            </w:r>
            <w:r>
              <w:t>.7</w:t>
            </w:r>
          </w:p>
        </w:tc>
        <w:tc>
          <w:tcPr>
            <w:tcW w:w="1734" w:type="dxa"/>
            <w:shd w:val="clear" w:color="auto" w:fill="auto"/>
            <w:vAlign w:val="center"/>
          </w:tcPr>
          <w:p w14:paraId="214AD2A0">
            <w:pPr>
              <w:pStyle w:val="180"/>
            </w:pPr>
            <w:r>
              <w:t>0.7</w:t>
            </w:r>
            <w:r>
              <w:rPr>
                <w:rFonts w:hint="eastAsia" w:hAnsi="宋体"/>
                <w:szCs w:val="18"/>
              </w:rPr>
              <w:t>～</w:t>
            </w:r>
            <w:r>
              <w:t>1</w:t>
            </w:r>
          </w:p>
        </w:tc>
      </w:tr>
      <w:tr w14:paraId="48D194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6"/>
            <w:shd w:val="clear" w:color="auto" w:fill="auto"/>
            <w:vAlign w:val="center"/>
          </w:tcPr>
          <w:p w14:paraId="78329D83">
            <w:pPr>
              <w:pStyle w:val="181"/>
            </w:pPr>
            <w:r>
              <w:rPr>
                <w:rFonts w:hint="eastAsia"/>
              </w:rPr>
              <w:t>易损性取值宜综合考虑承灾体使用年限、设防等级等因素在区间内取值。</w:t>
            </w:r>
          </w:p>
        </w:tc>
      </w:tr>
    </w:tbl>
    <w:p w14:paraId="1D772D76">
      <w:pPr>
        <w:pStyle w:val="80"/>
        <w:spacing w:before="156" w:after="156"/>
      </w:pPr>
      <w:bookmarkStart w:id="356" w:name="_Toc168321627"/>
      <w:bookmarkStart w:id="357" w:name="_Toc178172389"/>
      <w:bookmarkStart w:id="358" w:name="_Toc168092303"/>
      <w:bookmarkStart w:id="359" w:name="_Toc176194185"/>
      <w:r>
        <w:rPr>
          <w:rFonts w:hint="eastAsia"/>
        </w:rPr>
        <w:t>斜坡稳定性评价方法</w:t>
      </w:r>
      <w:bookmarkEnd w:id="356"/>
      <w:bookmarkEnd w:id="357"/>
      <w:bookmarkEnd w:id="358"/>
      <w:bookmarkEnd w:id="359"/>
    </w:p>
    <w:p w14:paraId="6E3B3661">
      <w:pPr>
        <w:pStyle w:val="58"/>
        <w:ind w:firstLine="420"/>
      </w:pPr>
      <w:r>
        <w:rPr>
          <w:rFonts w:hint="eastAsia"/>
        </w:rPr>
        <w:t>斜坡稳定性评价的方法可概括为定性评价和定量评价两大类。</w:t>
      </w:r>
    </w:p>
    <w:p w14:paraId="7B4E854B">
      <w:pPr>
        <w:pStyle w:val="81"/>
        <w:spacing w:before="156" w:after="156"/>
      </w:pPr>
      <w:bookmarkStart w:id="360" w:name="_Toc176194186"/>
      <w:bookmarkStart w:id="361" w:name="_Toc178172390"/>
      <w:r>
        <w:rPr>
          <w:rFonts w:hint="eastAsia"/>
        </w:rPr>
        <w:t>定性评价</w:t>
      </w:r>
      <w:bookmarkEnd w:id="360"/>
      <w:bookmarkEnd w:id="361"/>
    </w:p>
    <w:p w14:paraId="1040D8EE">
      <w:pPr>
        <w:pStyle w:val="58"/>
        <w:ind w:firstLine="404"/>
        <w:rPr>
          <w:rFonts w:hAnsi="宋体" w:cs="宋体"/>
          <w:spacing w:val="-4"/>
          <w:szCs w:val="21"/>
        </w:rPr>
      </w:pPr>
      <w:r>
        <w:rPr>
          <w:rFonts w:hAnsi="宋体" w:cs="宋体"/>
          <w:spacing w:val="-4"/>
          <w:szCs w:val="21"/>
        </w:rPr>
        <w:t>对于未开展地质灾害勘查、资料或数据较少的地质灾害</w:t>
      </w:r>
      <w:r>
        <w:rPr>
          <w:rFonts w:hint="eastAsia" w:hAnsi="宋体" w:cs="宋体"/>
          <w:spacing w:val="-4"/>
          <w:szCs w:val="21"/>
        </w:rPr>
        <w:t>，可根据野外调查结果，定性判断稳定性。</w:t>
      </w:r>
    </w:p>
    <w:p w14:paraId="0263AF29">
      <w:pPr>
        <w:pStyle w:val="79"/>
        <w:spacing w:before="156" w:after="156"/>
      </w:pPr>
      <w:r>
        <w:rPr>
          <w:rFonts w:hint="eastAsia"/>
        </w:rPr>
        <w:t>地质灾害稳定性等级划分建议表</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983"/>
        <w:gridCol w:w="4536"/>
        <w:gridCol w:w="3815"/>
      </w:tblGrid>
      <w:tr w14:paraId="6D15AE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983" w:type="dxa"/>
            <w:tcBorders>
              <w:top w:val="single" w:color="auto" w:sz="8" w:space="0"/>
              <w:bottom w:val="single" w:color="auto" w:sz="8" w:space="0"/>
            </w:tcBorders>
            <w:shd w:val="clear" w:color="auto" w:fill="auto"/>
            <w:vAlign w:val="center"/>
          </w:tcPr>
          <w:p w14:paraId="34DDDAB8">
            <w:pPr>
              <w:pStyle w:val="180"/>
              <w:rPr>
                <w:rFonts w:hAnsi="宋体" w:cs="宋体"/>
                <w:spacing w:val="-2"/>
                <w:szCs w:val="18"/>
              </w:rPr>
            </w:pPr>
            <w:r>
              <w:rPr>
                <w:rFonts w:hAnsi="宋体" w:cs="宋体"/>
                <w:spacing w:val="-2"/>
                <w:szCs w:val="18"/>
              </w:rPr>
              <w:t>稳定性</w:t>
            </w:r>
          </w:p>
          <w:p w14:paraId="3E1C8D60">
            <w:pPr>
              <w:pStyle w:val="180"/>
            </w:pPr>
            <w:r>
              <w:rPr>
                <w:rFonts w:hAnsi="宋体" w:cs="宋体"/>
                <w:spacing w:val="-2"/>
                <w:szCs w:val="18"/>
              </w:rPr>
              <w:t>等级</w:t>
            </w:r>
          </w:p>
        </w:tc>
        <w:tc>
          <w:tcPr>
            <w:tcW w:w="4536" w:type="dxa"/>
            <w:tcBorders>
              <w:top w:val="single" w:color="auto" w:sz="8" w:space="0"/>
              <w:bottom w:val="single" w:color="auto" w:sz="8" w:space="0"/>
            </w:tcBorders>
            <w:shd w:val="clear" w:color="auto" w:fill="auto"/>
            <w:vAlign w:val="center"/>
          </w:tcPr>
          <w:p w14:paraId="68686F1E">
            <w:pPr>
              <w:pStyle w:val="180"/>
            </w:pPr>
            <w:r>
              <w:rPr>
                <w:spacing w:val="-2"/>
                <w:szCs w:val="18"/>
              </w:rPr>
              <w:t>崩塌</w:t>
            </w:r>
          </w:p>
        </w:tc>
        <w:tc>
          <w:tcPr>
            <w:tcW w:w="3815" w:type="dxa"/>
            <w:tcBorders>
              <w:top w:val="single" w:color="auto" w:sz="8" w:space="0"/>
              <w:bottom w:val="single" w:color="auto" w:sz="8" w:space="0"/>
            </w:tcBorders>
            <w:shd w:val="clear" w:color="auto" w:fill="auto"/>
            <w:vAlign w:val="center"/>
          </w:tcPr>
          <w:p w14:paraId="097BCA89">
            <w:pPr>
              <w:pStyle w:val="180"/>
            </w:pPr>
            <w:r>
              <w:rPr>
                <w:rFonts w:hAnsi="宋体" w:cs="宋体"/>
                <w:spacing w:val="-2"/>
                <w:szCs w:val="18"/>
              </w:rPr>
              <w:t>滑坡</w:t>
            </w:r>
          </w:p>
        </w:tc>
      </w:tr>
      <w:tr w14:paraId="6A9F09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tcBorders>
              <w:top w:val="single" w:color="auto" w:sz="8" w:space="0"/>
            </w:tcBorders>
            <w:shd w:val="clear" w:color="auto" w:fill="auto"/>
            <w:vAlign w:val="center"/>
          </w:tcPr>
          <w:p w14:paraId="73C7EE54">
            <w:pPr>
              <w:pStyle w:val="180"/>
            </w:pPr>
            <w:r>
              <w:rPr>
                <w:spacing w:val="-2"/>
                <w:szCs w:val="18"/>
              </w:rPr>
              <w:t>不稳定</w:t>
            </w:r>
          </w:p>
        </w:tc>
        <w:tc>
          <w:tcPr>
            <w:tcW w:w="4536" w:type="dxa"/>
            <w:tcBorders>
              <w:top w:val="single" w:color="auto" w:sz="8" w:space="0"/>
            </w:tcBorders>
            <w:shd w:val="clear" w:color="auto" w:fill="auto"/>
            <w:vAlign w:val="center"/>
          </w:tcPr>
          <w:p w14:paraId="580F01A1">
            <w:pPr>
              <w:pStyle w:val="180"/>
              <w:jc w:val="left"/>
            </w:pPr>
            <w:r>
              <w:rPr>
                <w:rFonts w:hint="eastAsia"/>
                <w:spacing w:val="-2"/>
                <w:szCs w:val="18"/>
              </w:rPr>
              <w:t>前缘</w:t>
            </w:r>
            <w:r>
              <w:rPr>
                <w:spacing w:val="-2"/>
                <w:szCs w:val="18"/>
              </w:rPr>
              <w:t>临空，坡度陡且常处于地表径流的冲刷之下，存在进一步变形发展趋势，并有季节性泉水出露，岩土潮湿、饱水。坡面上有多条新发展的裂缝，贯通性强，其上建筑物、植被有新的变形迹象。结构面发育，存在软弱结构面或易滑组合块体。可见裂缝或明显位移迹象，有积水或存在积水地形。裂隙水和岩溶水发育，具多层含水层</w:t>
            </w:r>
          </w:p>
        </w:tc>
        <w:tc>
          <w:tcPr>
            <w:tcW w:w="3815" w:type="dxa"/>
            <w:tcBorders>
              <w:top w:val="single" w:color="auto" w:sz="8" w:space="0"/>
            </w:tcBorders>
            <w:shd w:val="clear" w:color="auto" w:fill="auto"/>
            <w:vAlign w:val="center"/>
          </w:tcPr>
          <w:p w14:paraId="52BE53BB">
            <w:pPr>
              <w:pStyle w:val="180"/>
              <w:jc w:val="left"/>
            </w:pPr>
            <w:r>
              <w:rPr>
                <w:rFonts w:hint="eastAsia"/>
                <w:spacing w:val="-2"/>
                <w:szCs w:val="18"/>
              </w:rPr>
              <w:t>前缘临空，坡度较陡且常处于地表径流的冲刷之下，有季节性泉水出露，岩土潮湿、饱水。坡面上有多条新发展的滑坡裂缝，贯通性强，其上建筑物、植被有新的变形迹象。后缘壁上可见擦痕或有明显位移迹象，后缘弧形裂缝和两侧羽状剪切裂缝发育</w:t>
            </w:r>
          </w:p>
        </w:tc>
      </w:tr>
      <w:tr w14:paraId="5B9FF2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shd w:val="clear" w:color="auto" w:fill="auto"/>
            <w:vAlign w:val="center"/>
          </w:tcPr>
          <w:p w14:paraId="72384713">
            <w:pPr>
              <w:pStyle w:val="180"/>
            </w:pPr>
            <w:r>
              <w:rPr>
                <w:spacing w:val="-2"/>
                <w:szCs w:val="18"/>
              </w:rPr>
              <w:t>欠稳定</w:t>
            </w:r>
          </w:p>
        </w:tc>
        <w:tc>
          <w:tcPr>
            <w:tcW w:w="4536" w:type="dxa"/>
            <w:shd w:val="clear" w:color="auto" w:fill="auto"/>
            <w:vAlign w:val="center"/>
          </w:tcPr>
          <w:p w14:paraId="740B8681">
            <w:pPr>
              <w:pStyle w:val="180"/>
              <w:jc w:val="left"/>
            </w:pPr>
            <w:r>
              <w:rPr>
                <w:rFonts w:hint="eastAsia"/>
                <w:spacing w:val="-2"/>
                <w:szCs w:val="18"/>
              </w:rPr>
              <w:t>前缘</w:t>
            </w:r>
            <w:r>
              <w:rPr>
                <w:spacing w:val="-2"/>
                <w:szCs w:val="18"/>
              </w:rPr>
              <w:t>临空，坡度较陡，受地表径流冲刷有一定变形发展趋势，并有少量季节性泉水出露，岩土较潮湿，局部饱水。坡面上有少量新发展的裂缝，具有一定贯通性，其上建筑物、植被有少量新的变形迹象，裂隙较发育或存在易滑软弱结构面。可见裂缝或明显位移迹象，有积水或存在积水地形，裂隙水和岩溶水较发育，地下水排泄条件好</w:t>
            </w:r>
          </w:p>
        </w:tc>
        <w:tc>
          <w:tcPr>
            <w:tcW w:w="3815" w:type="dxa"/>
            <w:shd w:val="clear" w:color="auto" w:fill="auto"/>
            <w:vAlign w:val="center"/>
          </w:tcPr>
          <w:p w14:paraId="79340490">
            <w:pPr>
              <w:pStyle w:val="180"/>
              <w:jc w:val="left"/>
            </w:pPr>
            <w:r>
              <w:rPr>
                <w:rFonts w:hint="eastAsia"/>
                <w:spacing w:val="-2"/>
                <w:szCs w:val="18"/>
              </w:rPr>
              <w:t>前缘临空，有间断季节性地表径流流经，岩土较潮湿，坡面上发育有新生裂缝，具有一定贯通性，其上建筑物、植被有较明显的变形迹象。后缘一定数量裂缝发育，后缘壁上较为明显变形迹象</w:t>
            </w:r>
          </w:p>
        </w:tc>
      </w:tr>
      <w:tr w14:paraId="5D3BA9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shd w:val="clear" w:color="auto" w:fill="auto"/>
            <w:vAlign w:val="center"/>
          </w:tcPr>
          <w:p w14:paraId="2220A7FC">
            <w:pPr>
              <w:pStyle w:val="180"/>
            </w:pPr>
            <w:r>
              <w:rPr>
                <w:spacing w:val="-2"/>
                <w:szCs w:val="18"/>
              </w:rPr>
              <w:t>基本稳定</w:t>
            </w:r>
          </w:p>
        </w:tc>
        <w:tc>
          <w:tcPr>
            <w:tcW w:w="4536" w:type="dxa"/>
            <w:shd w:val="clear" w:color="auto" w:fill="auto"/>
            <w:vAlign w:val="center"/>
          </w:tcPr>
          <w:p w14:paraId="59D920BF">
            <w:pPr>
              <w:pStyle w:val="180"/>
              <w:jc w:val="left"/>
            </w:pPr>
            <w:r>
              <w:rPr>
                <w:rFonts w:hint="eastAsia"/>
                <w:spacing w:val="-2"/>
                <w:szCs w:val="18"/>
              </w:rPr>
              <w:t>前缘</w:t>
            </w:r>
            <w:r>
              <w:rPr>
                <w:spacing w:val="-2"/>
                <w:szCs w:val="18"/>
              </w:rPr>
              <w:t>临空，有间断季节性地表径流流经，岩土体较湿，坡面上局部有小的裂缝，其上建筑物、植被无新的变形迹象，裂隙较发育或存在软弱结构面，有小裂缝，无明显变形迹象，存在积水地形，裂隙发育，地下水排泄条件好</w:t>
            </w:r>
          </w:p>
        </w:tc>
        <w:tc>
          <w:tcPr>
            <w:tcW w:w="3815" w:type="dxa"/>
            <w:shd w:val="clear" w:color="auto" w:fill="auto"/>
            <w:vAlign w:val="center"/>
          </w:tcPr>
          <w:p w14:paraId="79CA340C">
            <w:pPr>
              <w:pStyle w:val="180"/>
              <w:jc w:val="left"/>
            </w:pPr>
            <w:r>
              <w:rPr>
                <w:rFonts w:hint="eastAsia"/>
                <w:spacing w:val="-2"/>
                <w:szCs w:val="18"/>
              </w:rPr>
              <w:t>前缘临空，有少量间断季节性地表径流流经，岩土体较干燥，坡面上局部有小的裂缝，其上建筑物、植被少量变形迹象。后缘有断续的小裂缝发育，后缘壁上有不明显变形迹象</w:t>
            </w:r>
          </w:p>
        </w:tc>
      </w:tr>
      <w:tr w14:paraId="266978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83" w:type="dxa"/>
            <w:shd w:val="clear" w:color="auto" w:fill="auto"/>
            <w:vAlign w:val="center"/>
          </w:tcPr>
          <w:p w14:paraId="54E04245">
            <w:pPr>
              <w:pStyle w:val="180"/>
            </w:pPr>
            <w:r>
              <w:rPr>
                <w:spacing w:val="-2"/>
                <w:szCs w:val="18"/>
              </w:rPr>
              <w:t>稳定</w:t>
            </w:r>
          </w:p>
        </w:tc>
        <w:tc>
          <w:tcPr>
            <w:tcW w:w="4536" w:type="dxa"/>
            <w:shd w:val="clear" w:color="auto" w:fill="auto"/>
            <w:vAlign w:val="center"/>
          </w:tcPr>
          <w:p w14:paraId="3A5B3253">
            <w:pPr>
              <w:pStyle w:val="180"/>
              <w:jc w:val="left"/>
            </w:pPr>
            <w:r>
              <w:rPr>
                <w:spacing w:val="-2"/>
                <w:szCs w:val="18"/>
              </w:rPr>
              <w:t>斜坡较缓，临空高差小，无地表径流流经和继续变形的迹象，岩土体干燥，坡面上无裂缝发展，其上建筑物、植被没有新的变形迹象，裂隙不发育，不存在软弱结构面。无位移迹象，无积水，也不存在积水地形，隔水性好，无富水地层</w:t>
            </w:r>
          </w:p>
        </w:tc>
        <w:tc>
          <w:tcPr>
            <w:tcW w:w="3815" w:type="dxa"/>
            <w:shd w:val="clear" w:color="auto" w:fill="auto"/>
            <w:vAlign w:val="center"/>
          </w:tcPr>
          <w:p w14:paraId="57A66B26">
            <w:pPr>
              <w:pStyle w:val="180"/>
              <w:jc w:val="left"/>
            </w:pPr>
            <w:r>
              <w:rPr>
                <w:rFonts w:hint="eastAsia"/>
                <w:spacing w:val="-2"/>
                <w:szCs w:val="18"/>
              </w:rPr>
              <w:t>前缘斜坡较缓，临空高差小，无地表径流流经和继续变形的迹象，岩土体干燥。坡面上无裂缝发展，其上建筑物、植被未有新的变形迹象。后缘壁上无擦痕和明显位移迹象</w:t>
            </w:r>
            <w:r>
              <w:rPr>
                <w:spacing w:val="-2"/>
                <w:szCs w:val="18"/>
              </w:rPr>
              <w:t>。</w:t>
            </w:r>
          </w:p>
        </w:tc>
      </w:tr>
    </w:tbl>
    <w:p w14:paraId="1E34B06B">
      <w:pPr>
        <w:pStyle w:val="81"/>
        <w:spacing w:before="156" w:after="156"/>
      </w:pPr>
      <w:bookmarkStart w:id="362" w:name="_Toc178172391"/>
      <w:bookmarkStart w:id="363" w:name="_Toc176194187"/>
      <w:r>
        <w:rPr>
          <w:rFonts w:hint="eastAsia"/>
        </w:rPr>
        <w:t>定量分析</w:t>
      </w:r>
      <w:bookmarkEnd w:id="362"/>
      <w:bookmarkEnd w:id="363"/>
    </w:p>
    <w:p w14:paraId="5A09101A">
      <w:pPr>
        <w:pStyle w:val="58"/>
        <w:ind w:firstLine="420"/>
      </w:pPr>
      <w:r>
        <w:rPr>
          <w:rFonts w:hint="eastAsia"/>
        </w:rPr>
        <w:t>极限平衡分析法：极限平衡理论的主要思想是将滑动土体进行条分，根据极限状态下土条受力和力矩的平衡来分析斜坡的稳定性，极限平衡分析方法很多，如：Fellenius法、Bishop法、Jaubu法、MorgensternPrince法、Hoek楔体极限平衡分析法、Sarma法等（表J.4-2）。</w:t>
      </w:r>
    </w:p>
    <w:p w14:paraId="28BB9E32">
      <w:pPr>
        <w:pStyle w:val="58"/>
        <w:ind w:firstLine="420"/>
      </w:pPr>
      <w:r>
        <w:rPr>
          <w:rFonts w:hint="eastAsia"/>
        </w:rPr>
        <w:t>数值分析方法：数值分析方法是目前岩土力学计算中使用比较普遍的一类分析方法，主要有：有限元（FEM）法、边界元（BEM）法、离散元（DEM）法、快速Lagrangian分析法、块体理论（BT）与不连续变形分析（DDA）、无界元（IDEM）法等（表J.4-3）。</w:t>
      </w:r>
    </w:p>
    <w:p w14:paraId="5866AC25">
      <w:pPr>
        <w:pStyle w:val="58"/>
        <w:ind w:firstLine="420"/>
      </w:pPr>
      <w:r>
        <w:rPr>
          <w:rFonts w:hint="eastAsia"/>
        </w:rPr>
        <w:t>其中，有限元（FEM）法在斜坡岩土体的稳定性分析中得到最早（1967）应用，也是目前使用最广泛的一种数值分析方法，可以用来求解弹性、弹塑性、粘弹塑性、粘塑性等问题。有限元法的优点是部分地考虑了斜坡岩土体的非均质和不连续性，可以给出岩土体的应力、应变大小与分布，避免了极限平衡分析法中将滑体视为刚体而过于简化的缺点，能近似地从应力应变去分析斜坡的变形破坏机制，分析最先、最容易发生屈服破坏的部位和需要首先进行加固的部位等。但它还不能很好地求解大变形和位移不连续等问题，对于无限域、应力集中问题等的求解还不理想。</w:t>
      </w:r>
    </w:p>
    <w:p w14:paraId="4DAA173D">
      <w:pPr>
        <w:pStyle w:val="58"/>
        <w:ind w:firstLine="420"/>
      </w:pPr>
      <w:r>
        <w:rPr>
          <w:rFonts w:hint="eastAsia"/>
        </w:rPr>
        <w:t>另外，几种数值分析方法的耦合应用（如有限元与无界元、边界元、离散元等的耦合，边界元与离散元的耦合，以及数值解与解析解间的耦合，模糊数学与数值方法的耦合等）能在一定程度上彼此取长补短，以适应岩体的非均质、不连续、无限域等特征，使计算变得高效、合理与经济。</w:t>
      </w:r>
    </w:p>
    <w:p w14:paraId="4C32584C">
      <w:pPr>
        <w:pStyle w:val="79"/>
        <w:spacing w:before="156" w:after="156"/>
      </w:pPr>
      <w:r>
        <w:rPr>
          <w:rFonts w:hint="eastAsia"/>
        </w:rPr>
        <w:t>部分极限平衡法的主要特点</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15"/>
        <w:gridCol w:w="2948"/>
        <w:gridCol w:w="2302"/>
        <w:gridCol w:w="2309"/>
      </w:tblGrid>
      <w:tr w14:paraId="3ACD87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1" w:type="dxa"/>
            <w:tcBorders>
              <w:top w:val="single" w:color="auto" w:sz="8" w:space="0"/>
              <w:bottom w:val="single" w:color="auto" w:sz="8" w:space="0"/>
            </w:tcBorders>
            <w:shd w:val="clear" w:color="auto" w:fill="auto"/>
            <w:vAlign w:val="center"/>
          </w:tcPr>
          <w:p w14:paraId="63042542">
            <w:pPr>
              <w:pStyle w:val="180"/>
              <w:rPr>
                <w:rFonts w:hAnsi="宋体"/>
              </w:rPr>
            </w:pPr>
            <w:r>
              <w:rPr>
                <w:rFonts w:hAnsi="宋体"/>
                <w:snapToGrid w:val="0"/>
                <w:szCs w:val="18"/>
              </w:rPr>
              <w:t>分析方法</w:t>
            </w:r>
          </w:p>
        </w:tc>
        <w:tc>
          <w:tcPr>
            <w:tcW w:w="2976" w:type="dxa"/>
            <w:tcBorders>
              <w:top w:val="single" w:color="auto" w:sz="8" w:space="0"/>
              <w:bottom w:val="single" w:color="auto" w:sz="8" w:space="0"/>
            </w:tcBorders>
            <w:shd w:val="clear" w:color="auto" w:fill="auto"/>
            <w:vAlign w:val="center"/>
          </w:tcPr>
          <w:p w14:paraId="31165016">
            <w:pPr>
              <w:pStyle w:val="180"/>
              <w:rPr>
                <w:rFonts w:hAnsi="宋体"/>
              </w:rPr>
            </w:pPr>
            <w:r>
              <w:rPr>
                <w:rFonts w:hAnsi="宋体"/>
                <w:snapToGrid w:val="0"/>
                <w:szCs w:val="18"/>
              </w:rPr>
              <w:t>应用条件及步骤</w:t>
            </w:r>
          </w:p>
        </w:tc>
        <w:tc>
          <w:tcPr>
            <w:tcW w:w="2333" w:type="dxa"/>
            <w:tcBorders>
              <w:top w:val="single" w:color="auto" w:sz="8" w:space="0"/>
              <w:bottom w:val="single" w:color="auto" w:sz="8" w:space="0"/>
            </w:tcBorders>
            <w:shd w:val="clear" w:color="auto" w:fill="auto"/>
            <w:vAlign w:val="center"/>
          </w:tcPr>
          <w:p w14:paraId="400B202D">
            <w:pPr>
              <w:pStyle w:val="180"/>
              <w:rPr>
                <w:rFonts w:hAnsi="宋体"/>
              </w:rPr>
            </w:pPr>
            <w:r>
              <w:rPr>
                <w:rFonts w:hAnsi="宋体"/>
                <w:snapToGrid w:val="0"/>
                <w:szCs w:val="18"/>
              </w:rPr>
              <w:t>力学分析</w:t>
            </w:r>
          </w:p>
        </w:tc>
        <w:tc>
          <w:tcPr>
            <w:tcW w:w="2334" w:type="dxa"/>
            <w:tcBorders>
              <w:top w:val="single" w:color="auto" w:sz="8" w:space="0"/>
              <w:bottom w:val="single" w:color="auto" w:sz="8" w:space="0"/>
            </w:tcBorders>
            <w:shd w:val="clear" w:color="auto" w:fill="auto"/>
            <w:vAlign w:val="center"/>
          </w:tcPr>
          <w:p w14:paraId="05DE436E">
            <w:pPr>
              <w:pStyle w:val="180"/>
              <w:rPr>
                <w:rFonts w:hAnsi="宋体"/>
              </w:rPr>
            </w:pPr>
            <w:r>
              <w:rPr>
                <w:rFonts w:hAnsi="宋体"/>
                <w:snapToGrid w:val="0"/>
                <w:szCs w:val="18"/>
              </w:rPr>
              <w:t>实用范围及特点</w:t>
            </w:r>
          </w:p>
        </w:tc>
      </w:tr>
      <w:tr w14:paraId="249401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tcBorders>
              <w:top w:val="single" w:color="auto" w:sz="8" w:space="0"/>
            </w:tcBorders>
            <w:shd w:val="clear" w:color="auto" w:fill="auto"/>
            <w:vAlign w:val="center"/>
          </w:tcPr>
          <w:p w14:paraId="79DC2628">
            <w:pPr>
              <w:spacing w:line="240" w:lineRule="auto"/>
              <w:jc w:val="center"/>
              <w:rPr>
                <w:rFonts w:ascii="宋体" w:hAnsi="宋体"/>
                <w:snapToGrid w:val="0"/>
                <w:sz w:val="18"/>
                <w:szCs w:val="18"/>
              </w:rPr>
            </w:pPr>
            <w:r>
              <w:rPr>
                <w:rFonts w:ascii="宋体" w:hAnsi="宋体"/>
                <w:snapToGrid w:val="0"/>
                <w:sz w:val="18"/>
                <w:szCs w:val="18"/>
              </w:rPr>
              <w:t>Fellenius法</w:t>
            </w:r>
          </w:p>
          <w:p w14:paraId="0DB0D2F5">
            <w:pPr>
              <w:spacing w:line="240" w:lineRule="auto"/>
              <w:jc w:val="center"/>
              <w:rPr>
                <w:rFonts w:ascii="宋体" w:hAnsi="宋体"/>
                <w:snapToGrid w:val="0"/>
                <w:sz w:val="18"/>
                <w:szCs w:val="18"/>
              </w:rPr>
            </w:pPr>
            <w:r>
              <w:rPr>
                <w:rFonts w:ascii="宋体" w:hAnsi="宋体"/>
                <w:snapToGrid w:val="0"/>
                <w:sz w:val="18"/>
                <w:szCs w:val="18"/>
              </w:rPr>
              <w:t>（又称瑞典条分法）</w:t>
            </w:r>
          </w:p>
          <w:p w14:paraId="5399AF62">
            <w:pPr>
              <w:pStyle w:val="180"/>
              <w:rPr>
                <w:rFonts w:hAnsi="宋体"/>
              </w:rPr>
            </w:pPr>
            <w:r>
              <w:rPr>
                <w:rFonts w:hAnsi="宋体"/>
                <w:snapToGrid w:val="0"/>
                <w:szCs w:val="18"/>
              </w:rPr>
              <w:t>（1927）</w:t>
            </w:r>
          </w:p>
        </w:tc>
        <w:tc>
          <w:tcPr>
            <w:tcW w:w="2976" w:type="dxa"/>
            <w:tcBorders>
              <w:top w:val="single" w:color="auto" w:sz="8" w:space="0"/>
            </w:tcBorders>
            <w:shd w:val="clear" w:color="auto" w:fill="auto"/>
            <w:vAlign w:val="center"/>
          </w:tcPr>
          <w:p w14:paraId="49EA2D26">
            <w:pPr>
              <w:pStyle w:val="180"/>
              <w:jc w:val="left"/>
              <w:rPr>
                <w:rFonts w:hAnsi="宋体"/>
              </w:rPr>
            </w:pPr>
            <w:r>
              <w:rPr>
                <w:rFonts w:hAnsi="宋体"/>
                <w:snapToGrid w:val="0"/>
                <w:szCs w:val="18"/>
              </w:rPr>
              <w:t>圆弧滑面，定转动中心，各块间作用合力平行于滑动面。</w:t>
            </w:r>
          </w:p>
        </w:tc>
        <w:tc>
          <w:tcPr>
            <w:tcW w:w="2333" w:type="dxa"/>
            <w:tcBorders>
              <w:top w:val="single" w:color="auto" w:sz="8" w:space="0"/>
            </w:tcBorders>
            <w:shd w:val="clear" w:color="auto" w:fill="auto"/>
            <w:vAlign w:val="center"/>
          </w:tcPr>
          <w:p w14:paraId="37D2EFE2">
            <w:pPr>
              <w:pStyle w:val="180"/>
              <w:jc w:val="left"/>
              <w:rPr>
                <w:rFonts w:hAnsi="宋体"/>
              </w:rPr>
            </w:pPr>
            <w:r>
              <w:rPr>
                <w:rFonts w:hAnsi="宋体"/>
                <w:snapToGrid w:val="0"/>
                <w:szCs w:val="18"/>
              </w:rPr>
              <w:t>整体力矩平衡</w:t>
            </w:r>
          </w:p>
        </w:tc>
        <w:tc>
          <w:tcPr>
            <w:tcW w:w="2334" w:type="dxa"/>
            <w:tcBorders>
              <w:top w:val="single" w:color="auto" w:sz="8" w:space="0"/>
            </w:tcBorders>
            <w:shd w:val="clear" w:color="auto" w:fill="auto"/>
            <w:vAlign w:val="center"/>
          </w:tcPr>
          <w:p w14:paraId="32498C37">
            <w:pPr>
              <w:spacing w:line="240" w:lineRule="auto"/>
              <w:jc w:val="left"/>
              <w:rPr>
                <w:rFonts w:ascii="宋体" w:hAnsi="宋体"/>
                <w:snapToGrid w:val="0"/>
                <w:sz w:val="18"/>
                <w:szCs w:val="18"/>
              </w:rPr>
            </w:pPr>
            <w:r>
              <w:rPr>
                <w:rFonts w:ascii="宋体" w:hAnsi="宋体"/>
                <w:snapToGrid w:val="0"/>
                <w:sz w:val="18"/>
                <w:szCs w:val="18"/>
              </w:rPr>
              <w:t>1）圆弧滑面滑坡</w:t>
            </w:r>
          </w:p>
          <w:p w14:paraId="4A94EF06">
            <w:pPr>
              <w:spacing w:line="240" w:lineRule="auto"/>
              <w:jc w:val="left"/>
              <w:rPr>
                <w:rFonts w:ascii="宋体" w:hAnsi="宋体"/>
                <w:snapToGrid w:val="0"/>
                <w:sz w:val="18"/>
                <w:szCs w:val="18"/>
              </w:rPr>
            </w:pPr>
            <w:r>
              <w:rPr>
                <w:rFonts w:ascii="宋体" w:hAnsi="宋体"/>
                <w:snapToGrid w:val="0"/>
                <w:sz w:val="18"/>
                <w:szCs w:val="18"/>
              </w:rPr>
              <w:t>2）垂直条分滑体</w:t>
            </w:r>
          </w:p>
          <w:p w14:paraId="4EA2993D">
            <w:pPr>
              <w:spacing w:line="240" w:lineRule="auto"/>
              <w:ind w:right="35"/>
              <w:jc w:val="left"/>
              <w:rPr>
                <w:rFonts w:ascii="宋体" w:hAnsi="宋体"/>
                <w:snapToGrid w:val="0"/>
                <w:sz w:val="18"/>
                <w:szCs w:val="18"/>
              </w:rPr>
            </w:pPr>
            <w:r>
              <w:rPr>
                <w:rFonts w:ascii="宋体" w:hAnsi="宋体"/>
                <w:snapToGrid w:val="0"/>
                <w:sz w:val="18"/>
                <w:szCs w:val="18"/>
              </w:rPr>
              <w:t>3）计算简单，稳定系数偏小</w:t>
            </w:r>
          </w:p>
          <w:p w14:paraId="4EDD8DC1">
            <w:pPr>
              <w:pStyle w:val="180"/>
              <w:jc w:val="left"/>
              <w:rPr>
                <w:rFonts w:hAnsi="宋体"/>
              </w:rPr>
            </w:pPr>
            <w:r>
              <w:rPr>
                <w:rFonts w:hAnsi="宋体"/>
                <w:snapToGrid w:val="0"/>
                <w:szCs w:val="18"/>
              </w:rPr>
              <w:t>4）只适于简单均质土坡</w:t>
            </w:r>
          </w:p>
        </w:tc>
      </w:tr>
      <w:tr w14:paraId="18033F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5D130387">
            <w:pPr>
              <w:pStyle w:val="180"/>
              <w:rPr>
                <w:rFonts w:hAnsi="宋体"/>
              </w:rPr>
            </w:pPr>
            <w:r>
              <w:rPr>
                <w:rFonts w:hAnsi="宋体"/>
                <w:snapToGrid w:val="0"/>
                <w:szCs w:val="18"/>
              </w:rPr>
              <w:t>Bishop法（1955）</w:t>
            </w:r>
          </w:p>
        </w:tc>
        <w:tc>
          <w:tcPr>
            <w:tcW w:w="2976" w:type="dxa"/>
            <w:shd w:val="clear" w:color="auto" w:fill="auto"/>
            <w:vAlign w:val="center"/>
          </w:tcPr>
          <w:p w14:paraId="3D7B2C68">
            <w:pPr>
              <w:pStyle w:val="180"/>
              <w:jc w:val="left"/>
              <w:rPr>
                <w:rFonts w:hAnsi="宋体"/>
              </w:rPr>
            </w:pPr>
            <w:r>
              <w:rPr>
                <w:rFonts w:hAnsi="宋体"/>
                <w:snapToGrid w:val="0"/>
                <w:szCs w:val="18"/>
              </w:rPr>
              <w:t>圆弧滑面，定转动中心，各块间作用合力平行于滑动面；非圆弧滑面，拟合圆弧与转动中心，各块间作用力水平，条间切向力</w:t>
            </w:r>
            <w:r>
              <w:rPr>
                <w:rFonts w:hAnsi="宋体"/>
                <w:iCs/>
                <w:snapToGrid w:val="0"/>
                <w:szCs w:val="18"/>
              </w:rPr>
              <w:t>X</w:t>
            </w:r>
            <w:r>
              <w:rPr>
                <w:rFonts w:hAnsi="宋体"/>
                <w:snapToGrid w:val="0"/>
                <w:szCs w:val="18"/>
              </w:rPr>
              <w:t>为零。</w:t>
            </w:r>
          </w:p>
        </w:tc>
        <w:tc>
          <w:tcPr>
            <w:tcW w:w="2333" w:type="dxa"/>
            <w:shd w:val="clear" w:color="auto" w:fill="auto"/>
            <w:vAlign w:val="center"/>
          </w:tcPr>
          <w:p w14:paraId="39636DDE">
            <w:pPr>
              <w:spacing w:line="240" w:lineRule="auto"/>
              <w:ind w:right="25"/>
              <w:jc w:val="left"/>
              <w:rPr>
                <w:rFonts w:ascii="宋体" w:hAnsi="宋体"/>
                <w:snapToGrid w:val="0"/>
                <w:sz w:val="18"/>
                <w:szCs w:val="18"/>
              </w:rPr>
            </w:pPr>
            <w:r>
              <w:rPr>
                <w:rFonts w:ascii="宋体" w:hAnsi="宋体"/>
                <w:snapToGrid w:val="0"/>
                <w:sz w:val="18"/>
                <w:szCs w:val="18"/>
              </w:rPr>
              <w:t>1）整体力矩平衡与静力平衡</w:t>
            </w:r>
          </w:p>
          <w:p w14:paraId="367AC08E">
            <w:pPr>
              <w:pStyle w:val="180"/>
              <w:jc w:val="left"/>
              <w:rPr>
                <w:rFonts w:hAnsi="宋体"/>
              </w:rPr>
            </w:pPr>
            <w:r>
              <w:rPr>
                <w:rFonts w:hAnsi="宋体"/>
                <w:snapToGrid w:val="0"/>
                <w:szCs w:val="18"/>
              </w:rPr>
              <w:t>2）条间垂向作用力为零</w:t>
            </w:r>
          </w:p>
        </w:tc>
        <w:tc>
          <w:tcPr>
            <w:tcW w:w="2334" w:type="dxa"/>
            <w:shd w:val="clear" w:color="auto" w:fill="auto"/>
            <w:vAlign w:val="center"/>
          </w:tcPr>
          <w:p w14:paraId="1E39D870">
            <w:pPr>
              <w:spacing w:line="240" w:lineRule="auto"/>
              <w:jc w:val="left"/>
              <w:rPr>
                <w:rFonts w:ascii="宋体" w:hAnsi="宋体"/>
                <w:snapToGrid w:val="0"/>
                <w:sz w:val="18"/>
                <w:szCs w:val="18"/>
              </w:rPr>
            </w:pPr>
            <w:r>
              <w:rPr>
                <w:rFonts w:ascii="宋体" w:hAnsi="宋体"/>
                <w:snapToGrid w:val="0"/>
                <w:sz w:val="18"/>
                <w:szCs w:val="18"/>
              </w:rPr>
              <w:t>1）任意形状的滑面</w:t>
            </w:r>
          </w:p>
          <w:p w14:paraId="2C30F3CA">
            <w:pPr>
              <w:spacing w:line="240" w:lineRule="auto"/>
              <w:jc w:val="left"/>
              <w:rPr>
                <w:rFonts w:ascii="宋体" w:hAnsi="宋体"/>
                <w:snapToGrid w:val="0"/>
                <w:sz w:val="18"/>
                <w:szCs w:val="18"/>
              </w:rPr>
            </w:pPr>
            <w:r>
              <w:rPr>
                <w:rFonts w:ascii="宋体" w:hAnsi="宋体"/>
                <w:snapToGrid w:val="0"/>
                <w:sz w:val="18"/>
                <w:szCs w:val="18"/>
              </w:rPr>
              <w:t>2）垂直条分滑体</w:t>
            </w:r>
          </w:p>
          <w:p w14:paraId="6D056193">
            <w:pPr>
              <w:spacing w:line="240" w:lineRule="auto"/>
              <w:jc w:val="left"/>
              <w:rPr>
                <w:rFonts w:ascii="宋体" w:hAnsi="宋体"/>
                <w:snapToGrid w:val="0"/>
                <w:sz w:val="18"/>
                <w:szCs w:val="18"/>
              </w:rPr>
            </w:pPr>
            <w:r>
              <w:rPr>
                <w:rFonts w:ascii="宋体" w:hAnsi="宋体"/>
                <w:snapToGrid w:val="0"/>
                <w:sz w:val="18"/>
                <w:szCs w:val="18"/>
              </w:rPr>
              <w:t>3）稳定系数略大</w:t>
            </w:r>
          </w:p>
          <w:p w14:paraId="027D3267">
            <w:pPr>
              <w:pStyle w:val="180"/>
              <w:jc w:val="left"/>
              <w:rPr>
                <w:rFonts w:hAnsi="宋体"/>
              </w:rPr>
            </w:pPr>
            <w:r>
              <w:rPr>
                <w:rFonts w:hAnsi="宋体"/>
                <w:snapToGrid w:val="0"/>
                <w:szCs w:val="18"/>
              </w:rPr>
              <w:t>4）一般适用于土坡</w:t>
            </w:r>
          </w:p>
        </w:tc>
      </w:tr>
      <w:tr w14:paraId="57E9FE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4FA45625">
            <w:pPr>
              <w:pStyle w:val="180"/>
              <w:rPr>
                <w:rFonts w:hAnsi="宋体"/>
              </w:rPr>
            </w:pPr>
            <w:r>
              <w:rPr>
                <w:rFonts w:hAnsi="宋体"/>
                <w:snapToGrid w:val="0"/>
                <w:szCs w:val="18"/>
              </w:rPr>
              <w:t>Janbu法（1956）</w:t>
            </w:r>
          </w:p>
        </w:tc>
        <w:tc>
          <w:tcPr>
            <w:tcW w:w="2976" w:type="dxa"/>
            <w:shd w:val="clear" w:color="auto" w:fill="auto"/>
            <w:vAlign w:val="center"/>
          </w:tcPr>
          <w:p w14:paraId="6E89A05B">
            <w:pPr>
              <w:pStyle w:val="180"/>
              <w:jc w:val="left"/>
              <w:rPr>
                <w:rFonts w:hAnsi="宋体"/>
              </w:rPr>
            </w:pPr>
            <w:r>
              <w:rPr>
                <w:rFonts w:hAnsi="宋体"/>
                <w:snapToGrid w:val="0"/>
                <w:szCs w:val="18"/>
              </w:rPr>
              <w:t>非圆弧滑面，精确计算各条块滑动平衡条间力，按推力线定法向力</w:t>
            </w:r>
            <w:r>
              <w:rPr>
                <w:rFonts w:hAnsi="宋体"/>
                <w:iCs/>
                <w:snapToGrid w:val="0"/>
                <w:szCs w:val="18"/>
              </w:rPr>
              <w:t>E</w:t>
            </w:r>
            <w:r>
              <w:rPr>
                <w:rFonts w:hAnsi="宋体"/>
                <w:snapToGrid w:val="0"/>
                <w:szCs w:val="18"/>
              </w:rPr>
              <w:t>的作用点；简化条间切向力</w:t>
            </w:r>
            <w:r>
              <w:rPr>
                <w:rFonts w:hAnsi="宋体"/>
                <w:iCs/>
                <w:snapToGrid w:val="0"/>
                <w:szCs w:val="18"/>
              </w:rPr>
              <w:t>X</w:t>
            </w:r>
            <w:r>
              <w:rPr>
                <w:rFonts w:hAnsi="宋体"/>
                <w:snapToGrid w:val="0"/>
                <w:szCs w:val="18"/>
              </w:rPr>
              <w:t>=0，然后对稳定性系数进行修改。</w:t>
            </w:r>
          </w:p>
        </w:tc>
        <w:tc>
          <w:tcPr>
            <w:tcW w:w="2333" w:type="dxa"/>
            <w:shd w:val="clear" w:color="auto" w:fill="auto"/>
            <w:vAlign w:val="center"/>
          </w:tcPr>
          <w:p w14:paraId="30D9B7E0">
            <w:pPr>
              <w:spacing w:line="240" w:lineRule="auto"/>
              <w:ind w:left="46"/>
              <w:jc w:val="left"/>
              <w:rPr>
                <w:rFonts w:ascii="宋体" w:hAnsi="宋体"/>
                <w:snapToGrid w:val="0"/>
                <w:sz w:val="18"/>
                <w:szCs w:val="18"/>
              </w:rPr>
            </w:pPr>
            <w:r>
              <w:rPr>
                <w:rFonts w:ascii="宋体" w:hAnsi="宋体"/>
                <w:snapToGrid w:val="0"/>
                <w:sz w:val="18"/>
                <w:szCs w:val="18"/>
              </w:rPr>
              <w:t>1）分块力矩平衡</w:t>
            </w:r>
          </w:p>
          <w:p w14:paraId="2B6FC6BF">
            <w:pPr>
              <w:spacing w:line="240" w:lineRule="auto"/>
              <w:ind w:left="28"/>
              <w:jc w:val="left"/>
              <w:rPr>
                <w:rFonts w:ascii="宋体" w:hAnsi="宋体"/>
                <w:snapToGrid w:val="0"/>
                <w:sz w:val="18"/>
                <w:szCs w:val="18"/>
              </w:rPr>
            </w:pPr>
            <w:r>
              <w:rPr>
                <w:rFonts w:ascii="宋体" w:hAnsi="宋体"/>
                <w:snapToGrid w:val="0"/>
                <w:sz w:val="18"/>
                <w:szCs w:val="18"/>
              </w:rPr>
              <w:t>2）分块力平衡</w:t>
            </w:r>
          </w:p>
          <w:p w14:paraId="7A2853F7">
            <w:pPr>
              <w:pStyle w:val="180"/>
              <w:jc w:val="left"/>
              <w:rPr>
                <w:rFonts w:hAnsi="宋体"/>
              </w:rPr>
            </w:pPr>
            <w:r>
              <w:rPr>
                <w:rFonts w:hAnsi="宋体"/>
                <w:snapToGrid w:val="0"/>
                <w:szCs w:val="18"/>
              </w:rPr>
              <w:t>3）考虑条间作用力</w:t>
            </w:r>
          </w:p>
        </w:tc>
        <w:tc>
          <w:tcPr>
            <w:tcW w:w="2334" w:type="dxa"/>
            <w:shd w:val="clear" w:color="auto" w:fill="auto"/>
            <w:vAlign w:val="center"/>
          </w:tcPr>
          <w:p w14:paraId="782A2EFA">
            <w:pPr>
              <w:spacing w:line="240" w:lineRule="auto"/>
              <w:jc w:val="left"/>
              <w:rPr>
                <w:rFonts w:ascii="宋体" w:hAnsi="宋体"/>
                <w:snapToGrid w:val="0"/>
                <w:sz w:val="18"/>
                <w:szCs w:val="18"/>
              </w:rPr>
            </w:pPr>
            <w:r>
              <w:rPr>
                <w:rFonts w:ascii="宋体" w:hAnsi="宋体"/>
                <w:snapToGrid w:val="0"/>
                <w:sz w:val="18"/>
                <w:szCs w:val="18"/>
              </w:rPr>
              <w:t>1）垂直条分滑体</w:t>
            </w:r>
          </w:p>
          <w:p w14:paraId="05591D97">
            <w:pPr>
              <w:spacing w:line="240" w:lineRule="auto"/>
              <w:ind w:left="29"/>
              <w:jc w:val="left"/>
              <w:rPr>
                <w:rFonts w:ascii="宋体" w:hAnsi="宋体"/>
                <w:snapToGrid w:val="0"/>
                <w:sz w:val="18"/>
                <w:szCs w:val="18"/>
              </w:rPr>
            </w:pPr>
            <w:r>
              <w:rPr>
                <w:rFonts w:ascii="宋体" w:hAnsi="宋体"/>
                <w:snapToGrid w:val="0"/>
                <w:sz w:val="18"/>
                <w:szCs w:val="18"/>
              </w:rPr>
              <w:t>2）用于复合滑坡</w:t>
            </w:r>
          </w:p>
          <w:p w14:paraId="46D0EB91">
            <w:pPr>
              <w:pStyle w:val="180"/>
              <w:jc w:val="left"/>
              <w:rPr>
                <w:rFonts w:hAnsi="宋体"/>
              </w:rPr>
            </w:pPr>
            <w:r>
              <w:rPr>
                <w:rFonts w:hAnsi="宋体"/>
                <w:snapToGrid w:val="0"/>
                <w:szCs w:val="18"/>
              </w:rPr>
              <w:t>3）可适于非均质土坡</w:t>
            </w:r>
          </w:p>
        </w:tc>
      </w:tr>
      <w:tr w14:paraId="04A53C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46E7ACD7">
            <w:pPr>
              <w:pStyle w:val="180"/>
              <w:rPr>
                <w:rFonts w:hAnsi="宋体"/>
              </w:rPr>
            </w:pPr>
            <w:r>
              <w:rPr>
                <w:rFonts w:hAnsi="宋体"/>
                <w:snapToGrid w:val="0"/>
                <w:szCs w:val="18"/>
              </w:rPr>
              <w:t>Spencer法（1967）</w:t>
            </w:r>
          </w:p>
        </w:tc>
        <w:tc>
          <w:tcPr>
            <w:tcW w:w="2976" w:type="dxa"/>
            <w:shd w:val="clear" w:color="auto" w:fill="auto"/>
            <w:vAlign w:val="center"/>
          </w:tcPr>
          <w:p w14:paraId="40DE7CC9">
            <w:pPr>
              <w:pStyle w:val="180"/>
              <w:jc w:val="left"/>
              <w:rPr>
                <w:rFonts w:hAnsi="宋体"/>
              </w:rPr>
            </w:pPr>
            <w:r>
              <w:rPr>
                <w:rFonts w:hAnsi="宋体"/>
                <w:snapToGrid w:val="0"/>
                <w:szCs w:val="18"/>
              </w:rPr>
              <w:t>圆弧滑面或拟合中心圆弧。X/E为一个给定常数值。</w:t>
            </w:r>
          </w:p>
        </w:tc>
        <w:tc>
          <w:tcPr>
            <w:tcW w:w="2333" w:type="dxa"/>
            <w:shd w:val="clear" w:color="auto" w:fill="auto"/>
            <w:vAlign w:val="center"/>
          </w:tcPr>
          <w:p w14:paraId="32660C34">
            <w:pPr>
              <w:spacing w:line="240" w:lineRule="auto"/>
              <w:ind w:left="46"/>
              <w:jc w:val="left"/>
              <w:rPr>
                <w:rFonts w:ascii="宋体" w:hAnsi="宋体"/>
                <w:snapToGrid w:val="0"/>
                <w:sz w:val="18"/>
                <w:szCs w:val="18"/>
              </w:rPr>
            </w:pPr>
            <w:r>
              <w:rPr>
                <w:rFonts w:ascii="宋体" w:hAnsi="宋体"/>
                <w:snapToGrid w:val="0"/>
                <w:sz w:val="18"/>
                <w:szCs w:val="18"/>
              </w:rPr>
              <w:t>1）分块力平衡</w:t>
            </w:r>
          </w:p>
          <w:p w14:paraId="0FEEF0EC">
            <w:pPr>
              <w:pStyle w:val="180"/>
              <w:jc w:val="left"/>
              <w:rPr>
                <w:rFonts w:hAnsi="宋体"/>
              </w:rPr>
            </w:pPr>
            <w:r>
              <w:rPr>
                <w:rFonts w:hAnsi="宋体"/>
                <w:snapToGrid w:val="0"/>
                <w:szCs w:val="18"/>
              </w:rPr>
              <w:t>2）分块力矩平衡</w:t>
            </w:r>
          </w:p>
        </w:tc>
        <w:tc>
          <w:tcPr>
            <w:tcW w:w="2334" w:type="dxa"/>
            <w:shd w:val="clear" w:color="auto" w:fill="auto"/>
            <w:vAlign w:val="center"/>
          </w:tcPr>
          <w:p w14:paraId="5C9D52E4">
            <w:pPr>
              <w:spacing w:line="240" w:lineRule="auto"/>
              <w:ind w:left="29" w:right="371"/>
              <w:jc w:val="left"/>
              <w:rPr>
                <w:rFonts w:ascii="宋体" w:hAnsi="宋体"/>
                <w:snapToGrid w:val="0"/>
                <w:sz w:val="18"/>
                <w:szCs w:val="18"/>
              </w:rPr>
            </w:pPr>
            <w:r>
              <w:rPr>
                <w:rFonts w:ascii="宋体" w:hAnsi="宋体"/>
                <w:snapToGrid w:val="0"/>
                <w:sz w:val="18"/>
                <w:szCs w:val="18"/>
              </w:rPr>
              <w:t>1）任何形状滑面滑坡2）垂直条分块体</w:t>
            </w:r>
          </w:p>
          <w:p w14:paraId="1A81E7C5">
            <w:pPr>
              <w:pStyle w:val="180"/>
              <w:jc w:val="left"/>
              <w:rPr>
                <w:rFonts w:hAnsi="宋体"/>
              </w:rPr>
            </w:pPr>
            <w:r>
              <w:rPr>
                <w:rFonts w:hAnsi="宋体"/>
                <w:snapToGrid w:val="0"/>
                <w:szCs w:val="18"/>
              </w:rPr>
              <w:t>3）岩质滑坡或土滑坡</w:t>
            </w:r>
          </w:p>
        </w:tc>
      </w:tr>
      <w:tr w14:paraId="16AA5C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520DA182">
            <w:pPr>
              <w:pStyle w:val="180"/>
              <w:rPr>
                <w:rFonts w:hAnsi="宋体"/>
              </w:rPr>
            </w:pPr>
            <w:r>
              <w:rPr>
                <w:rFonts w:hAnsi="宋体"/>
                <w:snapToGrid w:val="0"/>
                <w:szCs w:val="18"/>
              </w:rPr>
              <w:t>Morgenstern—Spencer法（1965）</w:t>
            </w:r>
          </w:p>
        </w:tc>
        <w:tc>
          <w:tcPr>
            <w:tcW w:w="2976" w:type="dxa"/>
            <w:shd w:val="clear" w:color="auto" w:fill="auto"/>
            <w:vAlign w:val="center"/>
          </w:tcPr>
          <w:p w14:paraId="6FF9D0DD">
            <w:pPr>
              <w:pStyle w:val="180"/>
              <w:jc w:val="left"/>
              <w:rPr>
                <w:rFonts w:hAnsi="宋体"/>
              </w:rPr>
            </w:pPr>
            <w:r>
              <w:rPr>
                <w:rFonts w:hAnsi="宋体"/>
                <w:snapToGrid w:val="0"/>
                <w:szCs w:val="18"/>
              </w:rPr>
              <w:t>圆弧或非圆弧滑动面，X/E与水平方向坐标存在着函数关系</w:t>
            </w:r>
            <w:r>
              <w:rPr>
                <w:rFonts w:hAnsi="宋体"/>
                <w:iCs/>
                <w:snapToGrid w:val="0"/>
                <w:szCs w:val="18"/>
              </w:rPr>
              <w:t>X/E</w:t>
            </w:r>
            <w:r>
              <w:rPr>
                <w:rFonts w:hAnsi="宋体"/>
                <w:snapToGrid w:val="0"/>
                <w:szCs w:val="18"/>
              </w:rPr>
              <w:t>=</w:t>
            </w:r>
            <w:r>
              <w:rPr>
                <w:rFonts w:hAnsi="宋体"/>
                <w:iCs/>
                <w:snapToGrid w:val="0"/>
                <w:szCs w:val="18"/>
              </w:rPr>
              <w:t>λf</w:t>
            </w:r>
            <w:r>
              <w:rPr>
                <w:rFonts w:hAnsi="宋体"/>
                <w:iCs/>
                <w:snapToGrid w:val="0"/>
                <w:sz w:val="19"/>
                <w:szCs w:val="19"/>
              </w:rPr>
              <w:t>（</w:t>
            </w:r>
            <w:r>
              <w:rPr>
                <w:rFonts w:hAnsi="宋体"/>
                <w:iCs/>
                <w:snapToGrid w:val="0"/>
                <w:szCs w:val="18"/>
              </w:rPr>
              <w:t>x</w:t>
            </w:r>
            <w:r>
              <w:rPr>
                <w:rFonts w:hAnsi="宋体"/>
                <w:iCs/>
                <w:snapToGrid w:val="0"/>
                <w:sz w:val="19"/>
                <w:szCs w:val="19"/>
              </w:rPr>
              <w:t>）</w:t>
            </w:r>
          </w:p>
        </w:tc>
        <w:tc>
          <w:tcPr>
            <w:tcW w:w="2333" w:type="dxa"/>
            <w:shd w:val="clear" w:color="auto" w:fill="auto"/>
            <w:vAlign w:val="center"/>
          </w:tcPr>
          <w:p w14:paraId="5DCEA9EA">
            <w:pPr>
              <w:pStyle w:val="180"/>
              <w:jc w:val="left"/>
              <w:rPr>
                <w:rFonts w:hAnsi="宋体"/>
                <w:snapToGrid w:val="0"/>
                <w:szCs w:val="18"/>
              </w:rPr>
            </w:pPr>
            <w:r>
              <w:rPr>
                <w:rFonts w:hAnsi="宋体"/>
                <w:snapToGrid w:val="0"/>
                <w:szCs w:val="18"/>
              </w:rPr>
              <w:t>1）考虑分块力矩平衡</w:t>
            </w:r>
          </w:p>
          <w:p w14:paraId="5C596B1F">
            <w:pPr>
              <w:pStyle w:val="180"/>
              <w:jc w:val="left"/>
              <w:rPr>
                <w:rFonts w:hAnsi="宋体"/>
              </w:rPr>
            </w:pPr>
            <w:r>
              <w:rPr>
                <w:rFonts w:hAnsi="宋体"/>
                <w:snapToGrid w:val="0"/>
                <w:szCs w:val="18"/>
              </w:rPr>
              <w:t>2）考虑分块切向力平衡与法向力平衡</w:t>
            </w:r>
          </w:p>
        </w:tc>
        <w:tc>
          <w:tcPr>
            <w:tcW w:w="2334" w:type="dxa"/>
            <w:shd w:val="clear" w:color="auto" w:fill="auto"/>
            <w:vAlign w:val="center"/>
          </w:tcPr>
          <w:p w14:paraId="6D6F5A6D">
            <w:pPr>
              <w:spacing w:line="240" w:lineRule="auto"/>
              <w:jc w:val="left"/>
              <w:rPr>
                <w:rFonts w:ascii="宋体" w:hAnsi="宋体"/>
                <w:snapToGrid w:val="0"/>
                <w:sz w:val="18"/>
                <w:szCs w:val="18"/>
              </w:rPr>
            </w:pPr>
            <w:r>
              <w:rPr>
                <w:rFonts w:ascii="宋体" w:hAnsi="宋体"/>
                <w:snapToGrid w:val="0"/>
                <w:sz w:val="18"/>
                <w:szCs w:val="18"/>
              </w:rPr>
              <w:t>1）垂直条分滑体</w:t>
            </w:r>
          </w:p>
          <w:p w14:paraId="63ED0374">
            <w:pPr>
              <w:pStyle w:val="180"/>
              <w:jc w:val="left"/>
              <w:rPr>
                <w:rFonts w:hAnsi="宋体"/>
              </w:rPr>
            </w:pPr>
            <w:r>
              <w:rPr>
                <w:rFonts w:hAnsi="宋体"/>
                <w:snapToGrid w:val="0"/>
                <w:szCs w:val="18"/>
              </w:rPr>
              <w:t>2）用于任何形状滑面滑坡3）适于土坡</w:t>
            </w:r>
          </w:p>
        </w:tc>
      </w:tr>
      <w:tr w14:paraId="538315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20B3E80C">
            <w:pPr>
              <w:pStyle w:val="180"/>
              <w:rPr>
                <w:rFonts w:hAnsi="宋体"/>
              </w:rPr>
            </w:pPr>
            <w:r>
              <w:rPr>
                <w:rFonts w:hAnsi="宋体"/>
                <w:snapToGrid w:val="0"/>
                <w:szCs w:val="18"/>
              </w:rPr>
              <w:t>Hoek楔体分析法（1973）</w:t>
            </w:r>
          </w:p>
        </w:tc>
        <w:tc>
          <w:tcPr>
            <w:tcW w:w="2976" w:type="dxa"/>
            <w:shd w:val="clear" w:color="auto" w:fill="auto"/>
            <w:vAlign w:val="center"/>
          </w:tcPr>
          <w:p w14:paraId="30D9C8BC">
            <w:pPr>
              <w:pStyle w:val="180"/>
              <w:jc w:val="left"/>
              <w:rPr>
                <w:rFonts w:hAnsi="宋体"/>
              </w:rPr>
            </w:pPr>
            <w:r>
              <w:rPr>
                <w:rFonts w:hAnsi="宋体"/>
                <w:snapToGrid w:val="0"/>
                <w:szCs w:val="18"/>
              </w:rPr>
              <w:t>楔形滑动面，各滑面均为平面，以各滑面总抗滑力与楔体总下滑力来确定稳定系数。</w:t>
            </w:r>
          </w:p>
        </w:tc>
        <w:tc>
          <w:tcPr>
            <w:tcW w:w="2333" w:type="dxa"/>
            <w:shd w:val="clear" w:color="auto" w:fill="auto"/>
            <w:vAlign w:val="center"/>
          </w:tcPr>
          <w:p w14:paraId="2DF6ACDD">
            <w:pPr>
              <w:pStyle w:val="180"/>
              <w:jc w:val="left"/>
              <w:rPr>
                <w:rFonts w:hAnsi="宋体"/>
              </w:rPr>
            </w:pPr>
            <w:r>
              <w:rPr>
                <w:rFonts w:hAnsi="宋体"/>
                <w:snapToGrid w:val="0"/>
                <w:szCs w:val="18"/>
              </w:rPr>
              <w:t>整体力平衡</w:t>
            </w:r>
          </w:p>
        </w:tc>
        <w:tc>
          <w:tcPr>
            <w:tcW w:w="2334" w:type="dxa"/>
            <w:shd w:val="clear" w:color="auto" w:fill="auto"/>
            <w:vAlign w:val="center"/>
          </w:tcPr>
          <w:p w14:paraId="6B526895">
            <w:pPr>
              <w:pStyle w:val="180"/>
              <w:jc w:val="left"/>
              <w:rPr>
                <w:rFonts w:hAnsi="宋体"/>
              </w:rPr>
            </w:pPr>
            <w:r>
              <w:rPr>
                <w:rFonts w:hAnsi="宋体"/>
                <w:snapToGrid w:val="0"/>
                <w:szCs w:val="18"/>
              </w:rPr>
              <w:t>适于岩质楔形滑坡或土滑坡</w:t>
            </w:r>
          </w:p>
        </w:tc>
      </w:tr>
      <w:tr w14:paraId="199108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66D1A6D6">
            <w:pPr>
              <w:pStyle w:val="180"/>
              <w:rPr>
                <w:rFonts w:hAnsi="宋体"/>
              </w:rPr>
            </w:pPr>
            <w:r>
              <w:rPr>
                <w:rFonts w:hAnsi="宋体"/>
                <w:snapToGrid w:val="0"/>
                <w:szCs w:val="18"/>
              </w:rPr>
              <w:t>Sarma法（1979）</w:t>
            </w:r>
          </w:p>
        </w:tc>
        <w:tc>
          <w:tcPr>
            <w:tcW w:w="2976" w:type="dxa"/>
            <w:shd w:val="clear" w:color="auto" w:fill="auto"/>
            <w:vAlign w:val="center"/>
          </w:tcPr>
          <w:p w14:paraId="13FA4101">
            <w:pPr>
              <w:pStyle w:val="180"/>
              <w:jc w:val="left"/>
              <w:rPr>
                <w:rFonts w:hAnsi="宋体"/>
              </w:rPr>
            </w:pPr>
            <w:r>
              <w:rPr>
                <w:rFonts w:hAnsi="宋体"/>
                <w:snapToGrid w:val="0"/>
                <w:szCs w:val="18"/>
              </w:rPr>
              <w:t>认为除平面和圆弧面外，滑动体必须先破裂成相互滑动的块体后才能滑动，该方法根据块体处于极限平衡状态来确定稳定系数。</w:t>
            </w:r>
          </w:p>
        </w:tc>
        <w:tc>
          <w:tcPr>
            <w:tcW w:w="2333" w:type="dxa"/>
            <w:shd w:val="clear" w:color="auto" w:fill="auto"/>
            <w:vAlign w:val="center"/>
          </w:tcPr>
          <w:p w14:paraId="029C6E00">
            <w:pPr>
              <w:pStyle w:val="180"/>
              <w:jc w:val="left"/>
              <w:rPr>
                <w:rFonts w:hAnsi="宋体"/>
              </w:rPr>
            </w:pPr>
            <w:r>
              <w:rPr>
                <w:rFonts w:hAnsi="宋体"/>
                <w:snapToGrid w:val="0"/>
                <w:szCs w:val="18"/>
              </w:rPr>
              <w:t>分块力平衡</w:t>
            </w:r>
          </w:p>
        </w:tc>
        <w:tc>
          <w:tcPr>
            <w:tcW w:w="2334" w:type="dxa"/>
            <w:shd w:val="clear" w:color="auto" w:fill="auto"/>
            <w:vAlign w:val="center"/>
          </w:tcPr>
          <w:p w14:paraId="4634B70A">
            <w:pPr>
              <w:spacing w:line="240" w:lineRule="auto"/>
              <w:ind w:left="47"/>
              <w:jc w:val="left"/>
              <w:rPr>
                <w:rFonts w:ascii="宋体" w:hAnsi="宋体"/>
                <w:snapToGrid w:val="0"/>
                <w:sz w:val="18"/>
                <w:szCs w:val="18"/>
              </w:rPr>
            </w:pPr>
            <w:r>
              <w:rPr>
                <w:rFonts w:ascii="宋体" w:hAnsi="宋体"/>
                <w:snapToGrid w:val="0"/>
                <w:sz w:val="18"/>
                <w:szCs w:val="18"/>
              </w:rPr>
              <w:t>1）可以任意条分块体</w:t>
            </w:r>
          </w:p>
          <w:p w14:paraId="6F5EC795">
            <w:pPr>
              <w:spacing w:line="240" w:lineRule="auto"/>
              <w:ind w:left="32" w:right="34" w:hanging="3"/>
              <w:jc w:val="left"/>
              <w:rPr>
                <w:rFonts w:ascii="宋体" w:hAnsi="宋体"/>
                <w:snapToGrid w:val="0"/>
                <w:sz w:val="18"/>
                <w:szCs w:val="18"/>
              </w:rPr>
            </w:pPr>
            <w:r>
              <w:rPr>
                <w:rFonts w:ascii="宋体" w:hAnsi="宋体"/>
                <w:snapToGrid w:val="0"/>
                <w:sz w:val="18"/>
                <w:szCs w:val="18"/>
              </w:rPr>
              <w:t>2）适于任何形状滑面滑坡</w:t>
            </w:r>
          </w:p>
          <w:p w14:paraId="221BA4E1">
            <w:pPr>
              <w:pStyle w:val="180"/>
              <w:jc w:val="left"/>
              <w:rPr>
                <w:rFonts w:hAnsi="宋体"/>
              </w:rPr>
            </w:pPr>
            <w:r>
              <w:rPr>
                <w:rFonts w:hAnsi="宋体"/>
                <w:snapToGrid w:val="0"/>
                <w:szCs w:val="18"/>
              </w:rPr>
              <w:t>3）适于岩质滑坡或土滑坡</w:t>
            </w:r>
          </w:p>
        </w:tc>
      </w:tr>
      <w:tr w14:paraId="63759A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1" w:type="dxa"/>
            <w:shd w:val="clear" w:color="auto" w:fill="auto"/>
            <w:vAlign w:val="center"/>
          </w:tcPr>
          <w:p w14:paraId="6BEEE364">
            <w:pPr>
              <w:pStyle w:val="180"/>
              <w:rPr>
                <w:rFonts w:hAnsi="宋体"/>
              </w:rPr>
            </w:pPr>
            <w:r>
              <w:rPr>
                <w:rFonts w:hAnsi="宋体"/>
                <w:snapToGrid w:val="0"/>
                <w:szCs w:val="18"/>
              </w:rPr>
              <w:t>不平衡推力法（又称传递系数法）（1977）</w:t>
            </w:r>
          </w:p>
        </w:tc>
        <w:tc>
          <w:tcPr>
            <w:tcW w:w="2976" w:type="dxa"/>
            <w:shd w:val="clear" w:color="auto" w:fill="auto"/>
            <w:vAlign w:val="center"/>
          </w:tcPr>
          <w:p w14:paraId="46965928">
            <w:pPr>
              <w:pStyle w:val="180"/>
              <w:jc w:val="left"/>
              <w:rPr>
                <w:rFonts w:hAnsi="宋体"/>
              </w:rPr>
            </w:pPr>
            <w:r>
              <w:rPr>
                <w:rFonts w:hAnsi="宋体"/>
                <w:snapToGrid w:val="0"/>
                <w:szCs w:val="18"/>
              </w:rPr>
              <w:t>圆弧或非圆弧滑动面。条块间合力方向与上一条块滑面平行，即</w:t>
            </w:r>
            <w:r>
              <w:rPr>
                <w:rFonts w:hAnsi="宋体"/>
                <w:iCs/>
                <w:snapToGrid w:val="0"/>
                <w:szCs w:val="18"/>
              </w:rPr>
              <w:t>Xi/Ei</w:t>
            </w:r>
            <w:r>
              <w:rPr>
                <w:rFonts w:hAnsi="宋体"/>
                <w:iCs/>
                <w:snapToGrid w:val="0"/>
                <w:sz w:val="19"/>
                <w:szCs w:val="19"/>
              </w:rPr>
              <w:t>=</w:t>
            </w:r>
            <w:r>
              <w:rPr>
                <w:rFonts w:hAnsi="宋体"/>
                <w:iCs/>
                <w:snapToGrid w:val="0"/>
                <w:szCs w:val="18"/>
              </w:rPr>
              <w:t>tana</w:t>
            </w:r>
            <w:r>
              <w:rPr>
                <w:rFonts w:hAnsi="宋体"/>
                <w:iCs/>
                <w:snapToGrid w:val="0"/>
                <w:sz w:val="11"/>
                <w:szCs w:val="11"/>
              </w:rPr>
              <w:t>i</w:t>
            </w:r>
            <w:r>
              <w:rPr>
                <w:rFonts w:hAnsi="宋体"/>
                <w:snapToGrid w:val="0"/>
                <w:szCs w:val="18"/>
              </w:rPr>
              <w:t>。</w:t>
            </w:r>
          </w:p>
        </w:tc>
        <w:tc>
          <w:tcPr>
            <w:tcW w:w="2333" w:type="dxa"/>
            <w:shd w:val="clear" w:color="auto" w:fill="auto"/>
            <w:vAlign w:val="center"/>
          </w:tcPr>
          <w:p w14:paraId="10E727AE">
            <w:pPr>
              <w:spacing w:line="240" w:lineRule="auto"/>
              <w:jc w:val="left"/>
              <w:rPr>
                <w:rFonts w:ascii="宋体" w:hAnsi="宋体"/>
                <w:snapToGrid w:val="0"/>
                <w:sz w:val="18"/>
                <w:szCs w:val="18"/>
              </w:rPr>
            </w:pPr>
            <w:r>
              <w:rPr>
                <w:rFonts w:ascii="宋体" w:hAnsi="宋体"/>
                <w:snapToGrid w:val="0"/>
                <w:sz w:val="18"/>
                <w:szCs w:val="18"/>
              </w:rPr>
              <w:t>1）各分块力平衡</w:t>
            </w:r>
          </w:p>
          <w:p w14:paraId="0EE9F104">
            <w:pPr>
              <w:pStyle w:val="180"/>
              <w:jc w:val="left"/>
              <w:rPr>
                <w:rFonts w:hAnsi="宋体"/>
              </w:rPr>
            </w:pPr>
            <w:r>
              <w:rPr>
                <w:rFonts w:hAnsi="宋体"/>
                <w:snapToGrid w:val="0"/>
                <w:szCs w:val="18"/>
              </w:rPr>
              <w:t>2）考虑了分条面上的剪力</w:t>
            </w:r>
          </w:p>
        </w:tc>
        <w:tc>
          <w:tcPr>
            <w:tcW w:w="2334" w:type="dxa"/>
            <w:shd w:val="clear" w:color="auto" w:fill="auto"/>
            <w:vAlign w:val="center"/>
          </w:tcPr>
          <w:p w14:paraId="3FCFDFC6">
            <w:pPr>
              <w:spacing w:line="240" w:lineRule="auto"/>
              <w:ind w:left="47"/>
              <w:jc w:val="left"/>
              <w:rPr>
                <w:rFonts w:ascii="宋体" w:hAnsi="宋体"/>
                <w:snapToGrid w:val="0"/>
                <w:sz w:val="18"/>
                <w:szCs w:val="18"/>
              </w:rPr>
            </w:pPr>
            <w:r>
              <w:rPr>
                <w:rFonts w:ascii="宋体" w:hAnsi="宋体"/>
                <w:snapToGrid w:val="0"/>
                <w:sz w:val="18"/>
                <w:szCs w:val="18"/>
              </w:rPr>
              <w:t>1）任何形状滑面滑坡</w:t>
            </w:r>
          </w:p>
          <w:p w14:paraId="24C8870C">
            <w:pPr>
              <w:spacing w:line="240" w:lineRule="auto"/>
              <w:ind w:left="29"/>
              <w:jc w:val="left"/>
              <w:rPr>
                <w:rFonts w:ascii="宋体" w:hAnsi="宋体"/>
                <w:snapToGrid w:val="0"/>
                <w:sz w:val="18"/>
                <w:szCs w:val="18"/>
              </w:rPr>
            </w:pPr>
            <w:r>
              <w:rPr>
                <w:rFonts w:ascii="宋体" w:hAnsi="宋体"/>
                <w:snapToGrid w:val="0"/>
                <w:sz w:val="18"/>
                <w:szCs w:val="18"/>
              </w:rPr>
              <w:t>2）垂直条分块体</w:t>
            </w:r>
          </w:p>
          <w:p w14:paraId="3BF1A237">
            <w:pPr>
              <w:spacing w:line="240" w:lineRule="auto"/>
              <w:ind w:left="33"/>
              <w:jc w:val="left"/>
              <w:rPr>
                <w:rFonts w:ascii="宋体" w:hAnsi="宋体"/>
                <w:snapToGrid w:val="0"/>
                <w:sz w:val="18"/>
                <w:szCs w:val="18"/>
              </w:rPr>
            </w:pPr>
            <w:r>
              <w:rPr>
                <w:rFonts w:ascii="宋体" w:hAnsi="宋体"/>
                <w:snapToGrid w:val="0"/>
                <w:sz w:val="18"/>
                <w:szCs w:val="18"/>
              </w:rPr>
              <w:t>3）岩质滑坡或土滑坡</w:t>
            </w:r>
          </w:p>
          <w:p w14:paraId="3FE8DD11">
            <w:pPr>
              <w:pStyle w:val="180"/>
              <w:jc w:val="left"/>
              <w:rPr>
                <w:rFonts w:hAnsi="宋体"/>
              </w:rPr>
            </w:pPr>
            <w:r>
              <w:rPr>
                <w:rFonts w:hAnsi="宋体"/>
                <w:snapToGrid w:val="0"/>
                <w:szCs w:val="18"/>
              </w:rPr>
              <w:t>4）滑动面倾角不宜过陡</w:t>
            </w:r>
          </w:p>
        </w:tc>
      </w:tr>
    </w:tbl>
    <w:p w14:paraId="50FF9FFB">
      <w:pPr>
        <w:pStyle w:val="79"/>
        <w:spacing w:before="156" w:after="156"/>
      </w:pPr>
      <w:r>
        <w:rPr>
          <w:rFonts w:hint="eastAsia"/>
        </w:rPr>
        <w:t>部分数值分析方法的主要特点</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2333"/>
        <w:gridCol w:w="2333"/>
        <w:gridCol w:w="2334"/>
      </w:tblGrid>
      <w:tr w14:paraId="186344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334" w:type="dxa"/>
            <w:tcBorders>
              <w:top w:val="single" w:color="auto" w:sz="8" w:space="0"/>
              <w:bottom w:val="single" w:color="auto" w:sz="8" w:space="0"/>
            </w:tcBorders>
            <w:shd w:val="clear" w:color="auto" w:fill="auto"/>
            <w:vAlign w:val="center"/>
          </w:tcPr>
          <w:p w14:paraId="098DD024">
            <w:pPr>
              <w:pStyle w:val="180"/>
            </w:pPr>
            <w:r>
              <w:rPr>
                <w:rFonts w:ascii="Times New Roman"/>
                <w:szCs w:val="18"/>
              </w:rPr>
              <w:t>分析方法</w:t>
            </w:r>
          </w:p>
        </w:tc>
        <w:tc>
          <w:tcPr>
            <w:tcW w:w="2333" w:type="dxa"/>
            <w:tcBorders>
              <w:top w:val="single" w:color="auto" w:sz="8" w:space="0"/>
              <w:bottom w:val="single" w:color="auto" w:sz="8" w:space="0"/>
            </w:tcBorders>
            <w:shd w:val="clear" w:color="auto" w:fill="auto"/>
            <w:vAlign w:val="center"/>
          </w:tcPr>
          <w:p w14:paraId="2076A1D0">
            <w:pPr>
              <w:pStyle w:val="180"/>
            </w:pPr>
            <w:r>
              <w:rPr>
                <w:rFonts w:ascii="Times New Roman"/>
                <w:szCs w:val="18"/>
              </w:rPr>
              <w:t>运行机制</w:t>
            </w:r>
          </w:p>
        </w:tc>
        <w:tc>
          <w:tcPr>
            <w:tcW w:w="2333" w:type="dxa"/>
            <w:tcBorders>
              <w:top w:val="single" w:color="auto" w:sz="8" w:space="0"/>
              <w:bottom w:val="single" w:color="auto" w:sz="8" w:space="0"/>
            </w:tcBorders>
            <w:shd w:val="clear" w:color="auto" w:fill="auto"/>
            <w:vAlign w:val="center"/>
          </w:tcPr>
          <w:p w14:paraId="022A6CE7">
            <w:pPr>
              <w:pStyle w:val="180"/>
            </w:pPr>
            <w:r>
              <w:rPr>
                <w:rFonts w:ascii="Times New Roman"/>
                <w:szCs w:val="18"/>
              </w:rPr>
              <w:t>使用特点</w:t>
            </w:r>
          </w:p>
        </w:tc>
        <w:tc>
          <w:tcPr>
            <w:tcW w:w="2334" w:type="dxa"/>
            <w:tcBorders>
              <w:top w:val="single" w:color="auto" w:sz="8" w:space="0"/>
              <w:bottom w:val="single" w:color="auto" w:sz="8" w:space="0"/>
            </w:tcBorders>
            <w:shd w:val="clear" w:color="auto" w:fill="auto"/>
            <w:vAlign w:val="center"/>
          </w:tcPr>
          <w:p w14:paraId="30A08035">
            <w:pPr>
              <w:pStyle w:val="180"/>
            </w:pPr>
            <w:r>
              <w:rPr>
                <w:rFonts w:ascii="Times New Roman"/>
                <w:szCs w:val="18"/>
              </w:rPr>
              <w:t>存在缺陷</w:t>
            </w:r>
          </w:p>
        </w:tc>
      </w:tr>
      <w:tr w14:paraId="247A12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tcBorders>
              <w:top w:val="single" w:color="auto" w:sz="8" w:space="0"/>
            </w:tcBorders>
            <w:shd w:val="clear" w:color="auto" w:fill="auto"/>
            <w:vAlign w:val="center"/>
          </w:tcPr>
          <w:p w14:paraId="33396C6C">
            <w:pPr>
              <w:pStyle w:val="180"/>
            </w:pPr>
            <w:r>
              <w:rPr>
                <w:rFonts w:ascii="Times New Roman"/>
                <w:szCs w:val="18"/>
              </w:rPr>
              <w:t>有限元法（</w:t>
            </w:r>
            <w:r>
              <w:rPr>
                <w:rFonts w:ascii="Times New Roman" w:eastAsia="Calibri"/>
                <w:szCs w:val="18"/>
              </w:rPr>
              <w:t>FEM</w:t>
            </w:r>
            <w:r>
              <w:rPr>
                <w:rFonts w:ascii="Times New Roman"/>
                <w:szCs w:val="18"/>
              </w:rPr>
              <w:t>）</w:t>
            </w:r>
          </w:p>
        </w:tc>
        <w:tc>
          <w:tcPr>
            <w:tcW w:w="2333" w:type="dxa"/>
            <w:tcBorders>
              <w:top w:val="single" w:color="auto" w:sz="8" w:space="0"/>
            </w:tcBorders>
            <w:shd w:val="clear" w:color="auto" w:fill="auto"/>
            <w:vAlign w:val="center"/>
          </w:tcPr>
          <w:p w14:paraId="3D013B2F">
            <w:pPr>
              <w:pStyle w:val="180"/>
            </w:pPr>
            <w:r>
              <w:rPr>
                <w:rFonts w:ascii="Times New Roman"/>
                <w:szCs w:val="18"/>
              </w:rPr>
              <w:t>离散岩土介质为多个单元，荷载移植至节点，插值函数考虑连续条件，采用矩阵位移法或力学求解岩土介质应力场和位移场。</w:t>
            </w:r>
          </w:p>
        </w:tc>
        <w:tc>
          <w:tcPr>
            <w:tcW w:w="2333" w:type="dxa"/>
            <w:tcBorders>
              <w:top w:val="single" w:color="auto" w:sz="8" w:space="0"/>
            </w:tcBorders>
            <w:shd w:val="clear" w:color="auto" w:fill="auto"/>
            <w:vAlign w:val="center"/>
          </w:tcPr>
          <w:p w14:paraId="73484CA4">
            <w:pPr>
              <w:pStyle w:val="180"/>
            </w:pPr>
            <w:r>
              <w:rPr>
                <w:rFonts w:ascii="Times New Roman"/>
                <w:szCs w:val="18"/>
              </w:rPr>
              <w:t>可以用来求解弹性、弹塑性、粘弹塑性、粘塑性等问题；部分地考虑了土体均质、不连续性，可以给出岩土体应力、应变的大小与分布。</w:t>
            </w:r>
          </w:p>
        </w:tc>
        <w:tc>
          <w:tcPr>
            <w:tcW w:w="2334" w:type="dxa"/>
            <w:tcBorders>
              <w:top w:val="single" w:color="auto" w:sz="8" w:space="0"/>
            </w:tcBorders>
            <w:shd w:val="clear" w:color="auto" w:fill="auto"/>
            <w:vAlign w:val="center"/>
          </w:tcPr>
          <w:p w14:paraId="37B1363A">
            <w:pPr>
              <w:pStyle w:val="180"/>
            </w:pPr>
            <w:r>
              <w:rPr>
                <w:rFonts w:ascii="Times New Roman"/>
                <w:szCs w:val="18"/>
              </w:rPr>
              <w:t>对大变形、小连续位移、无限域、应力集中等问题的求解不理想。</w:t>
            </w:r>
          </w:p>
        </w:tc>
      </w:tr>
      <w:tr w14:paraId="55806C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7A1C2B5F">
            <w:pPr>
              <w:pStyle w:val="180"/>
            </w:pPr>
            <w:r>
              <w:rPr>
                <w:rFonts w:ascii="Times New Roman"/>
                <w:szCs w:val="18"/>
              </w:rPr>
              <w:t>边界元法（</w:t>
            </w:r>
            <w:r>
              <w:rPr>
                <w:rFonts w:ascii="Times New Roman" w:eastAsia="Calibri"/>
                <w:szCs w:val="18"/>
              </w:rPr>
              <w:t>BEM</w:t>
            </w:r>
            <w:r>
              <w:rPr>
                <w:rFonts w:ascii="Times New Roman"/>
                <w:szCs w:val="18"/>
              </w:rPr>
              <w:t>）</w:t>
            </w:r>
          </w:p>
        </w:tc>
        <w:tc>
          <w:tcPr>
            <w:tcW w:w="2333" w:type="dxa"/>
            <w:shd w:val="clear" w:color="auto" w:fill="auto"/>
            <w:vAlign w:val="center"/>
          </w:tcPr>
          <w:p w14:paraId="25B8C5D6">
            <w:pPr>
              <w:pStyle w:val="180"/>
            </w:pPr>
            <w:r>
              <w:rPr>
                <w:rFonts w:ascii="Times New Roman"/>
                <w:szCs w:val="18"/>
              </w:rPr>
              <w:t>将介质边界离散为边界单元，把边界微分方程转换为线性代数方程组，求解边界应力和位移解，再由解析法计算域内任一点的解。</w:t>
            </w:r>
          </w:p>
        </w:tc>
        <w:tc>
          <w:tcPr>
            <w:tcW w:w="2333" w:type="dxa"/>
            <w:shd w:val="clear" w:color="auto" w:fill="auto"/>
            <w:vAlign w:val="center"/>
          </w:tcPr>
          <w:p w14:paraId="3C8A72FE">
            <w:pPr>
              <w:pStyle w:val="180"/>
            </w:pPr>
            <w:r>
              <w:rPr>
                <w:rFonts w:ascii="Times New Roman"/>
                <w:szCs w:val="18"/>
              </w:rPr>
              <w:t>只对研究区的边界进行离散，数据输入量较少，对处理无界域、半无界域等问题较为理想。</w:t>
            </w:r>
          </w:p>
        </w:tc>
        <w:tc>
          <w:tcPr>
            <w:tcW w:w="2334" w:type="dxa"/>
            <w:shd w:val="clear" w:color="auto" w:fill="auto"/>
            <w:vAlign w:val="center"/>
          </w:tcPr>
          <w:p w14:paraId="266A425B">
            <w:pPr>
              <w:pStyle w:val="180"/>
            </w:pPr>
            <w:r>
              <w:rPr>
                <w:rFonts w:ascii="Times New Roman"/>
                <w:szCs w:val="18"/>
              </w:rPr>
              <w:t>要求事先知道控制微分方程的基本解，在处理非线性、小均匀性、模拟分步开挖等方面不如有限元。</w:t>
            </w:r>
          </w:p>
        </w:tc>
      </w:tr>
      <w:tr w14:paraId="2D67EA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3ADCF88F">
            <w:pPr>
              <w:pStyle w:val="180"/>
            </w:pPr>
            <w:r>
              <w:rPr>
                <w:rFonts w:ascii="Times New Roman" w:eastAsia="Calibri"/>
                <w:szCs w:val="18"/>
              </w:rPr>
              <w:t>FLAC</w:t>
            </w:r>
            <w:r>
              <w:rPr>
                <w:rFonts w:ascii="Times New Roman"/>
                <w:szCs w:val="18"/>
              </w:rPr>
              <w:t>法</w:t>
            </w:r>
          </w:p>
        </w:tc>
        <w:tc>
          <w:tcPr>
            <w:tcW w:w="2333" w:type="dxa"/>
            <w:shd w:val="clear" w:color="auto" w:fill="auto"/>
            <w:vAlign w:val="center"/>
          </w:tcPr>
          <w:p w14:paraId="4A38481C">
            <w:pPr>
              <w:pStyle w:val="180"/>
            </w:pPr>
            <w:r>
              <w:rPr>
                <w:rFonts w:ascii="Times New Roman"/>
                <w:szCs w:val="18"/>
              </w:rPr>
              <w:t>有限差分原理</w:t>
            </w:r>
          </w:p>
        </w:tc>
        <w:tc>
          <w:tcPr>
            <w:tcW w:w="2333" w:type="dxa"/>
            <w:shd w:val="clear" w:color="auto" w:fill="auto"/>
            <w:vAlign w:val="center"/>
          </w:tcPr>
          <w:p w14:paraId="6C3342EB">
            <w:pPr>
              <w:pStyle w:val="180"/>
            </w:pPr>
            <w:r>
              <w:rPr>
                <w:rFonts w:ascii="Times New Roman"/>
                <w:szCs w:val="18"/>
              </w:rPr>
              <w:t>考虑岩土体小连续性、大变形特征，求解速度较快。</w:t>
            </w:r>
          </w:p>
        </w:tc>
        <w:tc>
          <w:tcPr>
            <w:tcW w:w="2334" w:type="dxa"/>
            <w:shd w:val="clear" w:color="auto" w:fill="auto"/>
            <w:vAlign w:val="center"/>
          </w:tcPr>
          <w:p w14:paraId="059B2F08">
            <w:pPr>
              <w:pStyle w:val="180"/>
            </w:pPr>
            <w:r>
              <w:rPr>
                <w:rFonts w:ascii="Times New Roman"/>
                <w:szCs w:val="18"/>
              </w:rPr>
              <w:t>计算边界、单元网格的划分具有很大随意性。</w:t>
            </w:r>
          </w:p>
        </w:tc>
      </w:tr>
      <w:tr w14:paraId="254BCD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069DCFE2">
            <w:pPr>
              <w:pStyle w:val="180"/>
            </w:pPr>
            <w:r>
              <w:rPr>
                <w:rFonts w:ascii="Times New Roman"/>
                <w:szCs w:val="18"/>
              </w:rPr>
              <w:t>离散元法（</w:t>
            </w:r>
            <w:r>
              <w:rPr>
                <w:rFonts w:ascii="Times New Roman" w:eastAsia="Calibri"/>
                <w:szCs w:val="18"/>
              </w:rPr>
              <w:t>DEM</w:t>
            </w:r>
            <w:r>
              <w:rPr>
                <w:rFonts w:ascii="Times New Roman"/>
                <w:szCs w:val="18"/>
              </w:rPr>
              <w:t>）</w:t>
            </w:r>
          </w:p>
        </w:tc>
        <w:tc>
          <w:tcPr>
            <w:tcW w:w="2333" w:type="dxa"/>
            <w:shd w:val="clear" w:color="auto" w:fill="auto"/>
            <w:vAlign w:val="center"/>
          </w:tcPr>
          <w:p w14:paraId="6F3CCE77">
            <w:pPr>
              <w:pStyle w:val="180"/>
            </w:pPr>
            <w:r>
              <w:rPr>
                <w:rFonts w:ascii="Times New Roman"/>
                <w:szCs w:val="18"/>
              </w:rPr>
              <w:t>将区域离散为单元，但单元结点可以分离，单元间的作用力可由力与位移的关系求出，个别单元的运动由牛顿运动定理确定。</w:t>
            </w:r>
          </w:p>
        </w:tc>
        <w:tc>
          <w:tcPr>
            <w:tcW w:w="2333" w:type="dxa"/>
            <w:shd w:val="clear" w:color="auto" w:fill="auto"/>
            <w:vAlign w:val="center"/>
          </w:tcPr>
          <w:p w14:paraId="0AC9A25F">
            <w:pPr>
              <w:pStyle w:val="180"/>
            </w:pPr>
            <w:r>
              <w:rPr>
                <w:rFonts w:ascii="Times New Roman"/>
                <w:szCs w:val="18"/>
              </w:rPr>
              <w:t>动态性，考虑了岩体的非均质、不连续和大变形等特点，允许块体间发生平动、转动甚至相互脱离，可形象反映应力场、速度、位移等力学参量的全程变化。</w:t>
            </w:r>
          </w:p>
        </w:tc>
        <w:tc>
          <w:tcPr>
            <w:tcW w:w="2334" w:type="dxa"/>
            <w:shd w:val="clear" w:color="auto" w:fill="auto"/>
            <w:vAlign w:val="center"/>
          </w:tcPr>
          <w:p w14:paraId="7466C2CB">
            <w:pPr>
              <w:pStyle w:val="180"/>
            </w:pPr>
            <w:r>
              <w:rPr>
                <w:rFonts w:ascii="Times New Roman"/>
                <w:szCs w:val="18"/>
              </w:rPr>
              <w:t>只对块状、层状破裂或一般碎裂结构岩体比较适合。</w:t>
            </w:r>
          </w:p>
        </w:tc>
      </w:tr>
      <w:tr w14:paraId="0D1F7F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6804382A">
            <w:pPr>
              <w:pStyle w:val="180"/>
            </w:pPr>
            <w:r>
              <w:rPr>
                <w:rFonts w:ascii="Times New Roman"/>
                <w:szCs w:val="18"/>
              </w:rPr>
              <w:t>无界元法</w:t>
            </w:r>
          </w:p>
        </w:tc>
        <w:tc>
          <w:tcPr>
            <w:tcW w:w="2333" w:type="dxa"/>
            <w:shd w:val="clear" w:color="auto" w:fill="auto"/>
            <w:vAlign w:val="center"/>
          </w:tcPr>
          <w:p w14:paraId="04EB81D2">
            <w:pPr>
              <w:pStyle w:val="180"/>
            </w:pPr>
            <w:r>
              <w:rPr>
                <w:rFonts w:ascii="Times New Roman"/>
                <w:szCs w:val="18"/>
              </w:rPr>
              <w:t>采用了一种特殊的形函数及位移插值函数，能反映在无穷远处的边界条件，近年来己比较广泛地应用非线性问题、动力问题、不连续问题等的求解，是有限元方法的推广。</w:t>
            </w:r>
          </w:p>
        </w:tc>
        <w:tc>
          <w:tcPr>
            <w:tcW w:w="2333" w:type="dxa"/>
            <w:shd w:val="clear" w:color="auto" w:fill="auto"/>
            <w:vAlign w:val="center"/>
          </w:tcPr>
          <w:p w14:paraId="59E0119B">
            <w:pPr>
              <w:pStyle w:val="180"/>
            </w:pPr>
            <w:r>
              <w:rPr>
                <w:rFonts w:ascii="Times New Roman"/>
                <w:szCs w:val="18"/>
              </w:rPr>
              <w:t>适合于非线性、小连续和动力等问题求解，能有效解决有限元的</w:t>
            </w:r>
            <w:r>
              <w:rPr>
                <w:rFonts w:hint="eastAsia" w:ascii="Times New Roman"/>
                <w:szCs w:val="18"/>
              </w:rPr>
              <w:t>“</w:t>
            </w:r>
            <w:r>
              <w:rPr>
                <w:rFonts w:ascii="Times New Roman"/>
                <w:szCs w:val="18"/>
              </w:rPr>
              <w:t>边界效应</w:t>
            </w:r>
            <w:r>
              <w:rPr>
                <w:rFonts w:hint="eastAsia" w:ascii="Times New Roman"/>
                <w:szCs w:val="18"/>
              </w:rPr>
              <w:t>”</w:t>
            </w:r>
            <w:r>
              <w:rPr>
                <w:rFonts w:ascii="Times New Roman"/>
                <w:szCs w:val="18"/>
              </w:rPr>
              <w:t>及人为确定边界的缺点，在动力问题中犹为突出。</w:t>
            </w:r>
          </w:p>
        </w:tc>
        <w:tc>
          <w:tcPr>
            <w:tcW w:w="2334" w:type="dxa"/>
            <w:shd w:val="clear" w:color="auto" w:fill="auto"/>
            <w:vAlign w:val="center"/>
          </w:tcPr>
          <w:p w14:paraId="0410499E">
            <w:pPr>
              <w:spacing w:line="240" w:lineRule="auto"/>
              <w:rPr>
                <w:rFonts w:ascii="Times New Roman" w:hAnsi="Times New Roman"/>
              </w:rPr>
            </w:pPr>
          </w:p>
          <w:p w14:paraId="7FE4F1DC">
            <w:pPr>
              <w:pStyle w:val="180"/>
            </w:pPr>
            <w:r>
              <w:rPr>
                <w:rFonts w:ascii="Times New Roman"/>
                <w:szCs w:val="18"/>
              </w:rPr>
              <w:t>一般要与其他方法，如有限元联合应用。</w:t>
            </w:r>
          </w:p>
        </w:tc>
      </w:tr>
      <w:tr w14:paraId="0B8D42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0C659869">
            <w:pPr>
              <w:pStyle w:val="180"/>
            </w:pPr>
            <w:r>
              <w:rPr>
                <w:rFonts w:ascii="Times New Roman"/>
                <w:szCs w:val="18"/>
              </w:rPr>
              <w:t>块体理论</w:t>
            </w:r>
          </w:p>
        </w:tc>
        <w:tc>
          <w:tcPr>
            <w:tcW w:w="2333" w:type="dxa"/>
            <w:shd w:val="clear" w:color="auto" w:fill="auto"/>
            <w:vAlign w:val="center"/>
          </w:tcPr>
          <w:p w14:paraId="30949929">
            <w:pPr>
              <w:pStyle w:val="180"/>
            </w:pPr>
            <w:r>
              <w:rPr>
                <w:rFonts w:ascii="Times New Roman"/>
                <w:szCs w:val="18"/>
              </w:rPr>
              <w:t>几何学原理与解析方法</w:t>
            </w:r>
          </w:p>
        </w:tc>
        <w:tc>
          <w:tcPr>
            <w:tcW w:w="2333" w:type="dxa"/>
            <w:shd w:val="clear" w:color="auto" w:fill="auto"/>
            <w:vAlign w:val="center"/>
          </w:tcPr>
          <w:p w14:paraId="4FC48965">
            <w:pPr>
              <w:pStyle w:val="180"/>
            </w:pPr>
            <w:r>
              <w:rPr>
                <w:rFonts w:ascii="Times New Roman"/>
                <w:szCs w:val="18"/>
              </w:rPr>
              <w:t>几何学特征，利用拓扑学、群论原理，适用于岩体稳定分析。</w:t>
            </w:r>
          </w:p>
        </w:tc>
        <w:tc>
          <w:tcPr>
            <w:tcW w:w="2334" w:type="dxa"/>
            <w:shd w:val="clear" w:color="auto" w:fill="auto"/>
            <w:vAlign w:val="center"/>
          </w:tcPr>
          <w:p w14:paraId="41D7B6D1">
            <w:pPr>
              <w:pStyle w:val="180"/>
            </w:pPr>
            <w:r>
              <w:rPr>
                <w:rFonts w:ascii="Times New Roman"/>
                <w:szCs w:val="18"/>
              </w:rPr>
              <w:t>只考虑抗拉强度，不计节理变形、力矩作用。</w:t>
            </w:r>
          </w:p>
        </w:tc>
      </w:tr>
      <w:tr w14:paraId="739A6D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shd w:val="clear" w:color="auto" w:fill="auto"/>
            <w:vAlign w:val="center"/>
          </w:tcPr>
          <w:p w14:paraId="453FC24A">
            <w:pPr>
              <w:pStyle w:val="180"/>
            </w:pPr>
            <w:r>
              <w:rPr>
                <w:rFonts w:ascii="Times New Roman"/>
                <w:szCs w:val="18"/>
              </w:rPr>
              <w:t>不连续变形分析（</w:t>
            </w:r>
            <w:r>
              <w:rPr>
                <w:rFonts w:ascii="Times New Roman" w:eastAsia="Calibri"/>
                <w:szCs w:val="18"/>
              </w:rPr>
              <w:t>DDA</w:t>
            </w:r>
            <w:r>
              <w:rPr>
                <w:rFonts w:ascii="Times New Roman"/>
                <w:szCs w:val="18"/>
              </w:rPr>
              <w:t>）</w:t>
            </w:r>
          </w:p>
        </w:tc>
        <w:tc>
          <w:tcPr>
            <w:tcW w:w="2333" w:type="dxa"/>
            <w:shd w:val="clear" w:color="auto" w:fill="auto"/>
            <w:vAlign w:val="center"/>
          </w:tcPr>
          <w:p w14:paraId="3A0D7643">
            <w:pPr>
              <w:pStyle w:val="180"/>
            </w:pPr>
            <w:r>
              <w:rPr>
                <w:rFonts w:ascii="Times New Roman"/>
                <w:szCs w:val="18"/>
              </w:rPr>
              <w:t>通过小连续曲面的相互约束建立整个系统的力学平衡条件，引入了非连续接触和惯性力，采用运动学原理解决非连续的动力与静力问题。</w:t>
            </w:r>
          </w:p>
        </w:tc>
        <w:tc>
          <w:tcPr>
            <w:tcW w:w="2333" w:type="dxa"/>
            <w:shd w:val="clear" w:color="auto" w:fill="auto"/>
            <w:vAlign w:val="center"/>
          </w:tcPr>
          <w:p w14:paraId="317EB8F7">
            <w:pPr>
              <w:pStyle w:val="180"/>
            </w:pPr>
            <w:r>
              <w:rPr>
                <w:rFonts w:ascii="Times New Roman"/>
                <w:szCs w:val="18"/>
              </w:rPr>
              <w:t>考虑了变形的小连续性，引入了时间因素，可以计算静力、动力问题，可以计算岩体破坏前小变形及破坏后大位移问题。</w:t>
            </w:r>
          </w:p>
        </w:tc>
        <w:tc>
          <w:tcPr>
            <w:tcW w:w="2334" w:type="dxa"/>
            <w:shd w:val="clear" w:color="auto" w:fill="auto"/>
            <w:vAlign w:val="center"/>
          </w:tcPr>
          <w:p w14:paraId="658AA04A">
            <w:pPr>
              <w:spacing w:line="240" w:lineRule="auto"/>
              <w:rPr>
                <w:rFonts w:ascii="Times New Roman" w:hAnsi="Times New Roman"/>
              </w:rPr>
            </w:pPr>
          </w:p>
          <w:p w14:paraId="12341871">
            <w:pPr>
              <w:pStyle w:val="180"/>
            </w:pPr>
            <w:r>
              <w:rPr>
                <w:rFonts w:ascii="Times New Roman"/>
                <w:szCs w:val="18"/>
              </w:rPr>
              <w:t>网格的划分比较复杂。</w:t>
            </w:r>
          </w:p>
        </w:tc>
      </w:tr>
    </w:tbl>
    <w:p w14:paraId="3447D729">
      <w:pPr>
        <w:pStyle w:val="80"/>
        <w:spacing w:before="156" w:after="156"/>
      </w:pPr>
      <w:bookmarkStart w:id="364" w:name="_Toc168092304"/>
      <w:bookmarkStart w:id="365" w:name="_Toc168321628"/>
      <w:bookmarkStart w:id="366" w:name="_Toc176194188"/>
      <w:bookmarkStart w:id="367" w:name="_Toc178172392"/>
      <w:r>
        <w:rPr>
          <w:rFonts w:hint="eastAsia"/>
        </w:rPr>
        <w:t>滑坡或崩塌潜在威胁范围确定方法</w:t>
      </w:r>
      <w:bookmarkEnd w:id="364"/>
      <w:bookmarkEnd w:id="365"/>
      <w:bookmarkEnd w:id="366"/>
      <w:bookmarkEnd w:id="367"/>
    </w:p>
    <w:p w14:paraId="1020BC6D">
      <w:pPr>
        <w:pStyle w:val="79"/>
        <w:spacing w:before="156" w:after="156"/>
      </w:pPr>
      <w:r>
        <w:rPr>
          <w:rFonts w:hint="eastAsia"/>
        </w:rPr>
        <w:t>滑坡或崩塌灾害运动距离关系经验公式</w:t>
      </w:r>
    </w:p>
    <w:tbl>
      <w:tblPr>
        <w:tblStyle w:val="29"/>
        <w:tblW w:w="93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10"/>
        <w:gridCol w:w="6224"/>
      </w:tblGrid>
      <w:tr w14:paraId="371CA9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0" w:type="dxa"/>
            <w:tcBorders>
              <w:top w:val="single" w:color="auto" w:sz="8" w:space="0"/>
              <w:bottom w:val="single" w:color="auto" w:sz="8" w:space="0"/>
            </w:tcBorders>
            <w:shd w:val="clear" w:color="auto" w:fill="auto"/>
            <w:vAlign w:val="center"/>
          </w:tcPr>
          <w:p w14:paraId="551D9EEC">
            <w:pPr>
              <w:pStyle w:val="180"/>
              <w:rPr>
                <w:rFonts w:hAnsi="宋体"/>
              </w:rPr>
            </w:pPr>
            <w:r>
              <w:rPr>
                <w:rFonts w:hAnsi="宋体"/>
                <w:szCs w:val="18"/>
              </w:rPr>
              <w:t>研究者姓名和研究年代</w:t>
            </w:r>
          </w:p>
        </w:tc>
        <w:tc>
          <w:tcPr>
            <w:tcW w:w="6224" w:type="dxa"/>
            <w:tcBorders>
              <w:top w:val="single" w:color="auto" w:sz="8" w:space="0"/>
            </w:tcBorders>
            <w:shd w:val="clear" w:color="auto" w:fill="auto"/>
            <w:vAlign w:val="center"/>
          </w:tcPr>
          <w:p w14:paraId="6C669986">
            <w:pPr>
              <w:pStyle w:val="180"/>
              <w:rPr>
                <w:rFonts w:hAnsi="宋体"/>
              </w:rPr>
            </w:pPr>
            <w:r>
              <w:rPr>
                <w:rFonts w:hAnsi="宋体"/>
                <w:szCs w:val="18"/>
              </w:rPr>
              <w:t>经验公式</w:t>
            </w:r>
          </w:p>
        </w:tc>
      </w:tr>
      <w:tr w14:paraId="4773AA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tcBorders>
              <w:top w:val="single" w:color="auto" w:sz="8" w:space="0"/>
            </w:tcBorders>
            <w:shd w:val="clear" w:color="auto" w:fill="auto"/>
            <w:vAlign w:val="center"/>
          </w:tcPr>
          <w:p w14:paraId="618E7632">
            <w:pPr>
              <w:pStyle w:val="180"/>
              <w:rPr>
                <w:rFonts w:hAnsi="宋体"/>
              </w:rPr>
            </w:pPr>
            <w:r>
              <w:rPr>
                <w:rFonts w:hAnsi="宋体"/>
                <w:szCs w:val="18"/>
              </w:rPr>
              <w:t>Scheiderger（1973）</w:t>
            </w:r>
          </w:p>
        </w:tc>
        <w:tc>
          <w:tcPr>
            <w:tcW w:w="6224" w:type="dxa"/>
            <w:shd w:val="clear" w:color="auto" w:fill="auto"/>
            <w:vAlign w:val="center"/>
          </w:tcPr>
          <w:p w14:paraId="31593C86">
            <w:pPr>
              <w:pStyle w:val="180"/>
              <w:rPr>
                <w:rFonts w:hAnsi="宋体"/>
              </w:rPr>
            </w:pPr>
            <w:r>
              <w:rPr>
                <w:rFonts w:hAnsi="宋体"/>
                <w:szCs w:val="18"/>
              </w:rPr>
              <w:t xml:space="preserve"> log（</w:t>
            </w:r>
            <w:r>
              <w:rPr>
                <w:rFonts w:hAnsi="宋体"/>
                <w:i/>
                <w:szCs w:val="21"/>
              </w:rPr>
              <w:t>H/D</w:t>
            </w:r>
            <w:r>
              <w:rPr>
                <w:rFonts w:hAnsi="宋体"/>
                <w:szCs w:val="18"/>
              </w:rPr>
              <w:t>）=-0.15666log（</w:t>
            </w:r>
            <w:r>
              <w:rPr>
                <w:rFonts w:hAnsi="宋体"/>
                <w:i/>
                <w:szCs w:val="21"/>
              </w:rPr>
              <w:t>V</w:t>
            </w:r>
            <w:r>
              <w:rPr>
                <w:rFonts w:hAnsi="宋体"/>
                <w:szCs w:val="18"/>
              </w:rPr>
              <w:t>）+0.62419</w:t>
            </w:r>
          </w:p>
        </w:tc>
      </w:tr>
      <w:tr w14:paraId="682CFD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shd w:val="clear" w:color="auto" w:fill="auto"/>
            <w:vAlign w:val="center"/>
          </w:tcPr>
          <w:p w14:paraId="3B6BAD26">
            <w:pPr>
              <w:pStyle w:val="180"/>
              <w:rPr>
                <w:rFonts w:hAnsi="宋体"/>
              </w:rPr>
            </w:pPr>
            <w:r>
              <w:rPr>
                <w:rFonts w:hAnsi="宋体"/>
                <w:szCs w:val="18"/>
              </w:rPr>
              <w:t>Ikeya（1981）</w:t>
            </w:r>
          </w:p>
        </w:tc>
        <w:tc>
          <w:tcPr>
            <w:tcW w:w="6224" w:type="dxa"/>
            <w:shd w:val="clear" w:color="auto" w:fill="auto"/>
            <w:vAlign w:val="center"/>
          </w:tcPr>
          <w:p w14:paraId="2CDE5343">
            <w:pPr>
              <w:pStyle w:val="180"/>
              <w:rPr>
                <w:rFonts w:hAnsi="宋体"/>
              </w:rPr>
            </w:pPr>
            <w:r>
              <w:rPr>
                <w:rFonts w:hAnsi="宋体"/>
                <w:i/>
                <w:szCs w:val="21"/>
              </w:rPr>
              <w:t>D</w:t>
            </w:r>
            <w:r>
              <w:rPr>
                <w:rFonts w:hAnsi="宋体"/>
                <w:szCs w:val="18"/>
              </w:rPr>
              <w:t>=8.6（</w:t>
            </w:r>
            <w:r>
              <w:rPr>
                <w:rFonts w:hAnsi="宋体"/>
                <w:i/>
                <w:szCs w:val="21"/>
              </w:rPr>
              <w:t>V</w:t>
            </w:r>
            <w:r>
              <w:rPr>
                <w:rFonts w:hAnsi="宋体"/>
                <w:szCs w:val="18"/>
              </w:rPr>
              <w:t>tanθ）</w:t>
            </w:r>
            <w:r>
              <w:rPr>
                <w:rFonts w:hAnsi="宋体"/>
                <w:szCs w:val="18"/>
                <w:vertAlign w:val="superscript"/>
              </w:rPr>
              <w:t>0.42</w:t>
            </w:r>
          </w:p>
        </w:tc>
      </w:tr>
      <w:tr w14:paraId="19BFAE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shd w:val="clear" w:color="auto" w:fill="auto"/>
            <w:vAlign w:val="center"/>
          </w:tcPr>
          <w:p w14:paraId="210A6CCB">
            <w:pPr>
              <w:pStyle w:val="180"/>
              <w:rPr>
                <w:rFonts w:hAnsi="宋体"/>
              </w:rPr>
            </w:pPr>
            <w:r>
              <w:rPr>
                <w:rFonts w:hAnsi="宋体"/>
                <w:szCs w:val="18"/>
              </w:rPr>
              <w:t>Vandre（1985）</w:t>
            </w:r>
          </w:p>
        </w:tc>
        <w:tc>
          <w:tcPr>
            <w:tcW w:w="6224" w:type="dxa"/>
            <w:shd w:val="clear" w:color="auto" w:fill="auto"/>
            <w:vAlign w:val="center"/>
          </w:tcPr>
          <w:p w14:paraId="27FC6BC8">
            <w:pPr>
              <w:pStyle w:val="180"/>
              <w:rPr>
                <w:rFonts w:hAnsi="宋体"/>
              </w:rPr>
            </w:pPr>
            <w:r>
              <w:rPr>
                <w:rFonts w:hAnsi="宋体"/>
                <w:i/>
                <w:szCs w:val="21"/>
              </w:rPr>
              <w:t>D</w:t>
            </w:r>
            <w:r>
              <w:rPr>
                <w:rFonts w:hAnsi="宋体"/>
                <w:szCs w:val="18"/>
              </w:rPr>
              <w:t>=</w:t>
            </w:r>
            <w:r>
              <w:rPr>
                <w:rFonts w:hAnsi="宋体"/>
                <w:i/>
                <w:szCs w:val="21"/>
              </w:rPr>
              <w:t>aH</w:t>
            </w:r>
          </w:p>
        </w:tc>
      </w:tr>
      <w:tr w14:paraId="6288A3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shd w:val="clear" w:color="auto" w:fill="auto"/>
            <w:vAlign w:val="center"/>
          </w:tcPr>
          <w:p w14:paraId="69A1AB76">
            <w:pPr>
              <w:pStyle w:val="180"/>
              <w:rPr>
                <w:rFonts w:hAnsi="宋体"/>
              </w:rPr>
            </w:pPr>
            <w:r>
              <w:rPr>
                <w:rFonts w:hAnsi="宋体"/>
                <w:szCs w:val="18"/>
              </w:rPr>
              <w:t>Takahashi（1994）</w:t>
            </w:r>
          </w:p>
        </w:tc>
        <w:tc>
          <w:tcPr>
            <w:tcW w:w="6224" w:type="dxa"/>
            <w:shd w:val="clear" w:color="auto" w:fill="auto"/>
            <w:vAlign w:val="center"/>
          </w:tcPr>
          <w:p w14:paraId="7A3BC886">
            <w:pPr>
              <w:pStyle w:val="180"/>
              <w:rPr>
                <w:rFonts w:hAnsi="宋体"/>
              </w:rPr>
            </w:pPr>
            <w:r>
              <w:rPr>
                <w:rFonts w:hAnsi="宋体"/>
                <w:i/>
                <w:szCs w:val="21"/>
              </w:rPr>
              <w:t>H/D</w:t>
            </w:r>
            <w:r>
              <w:rPr>
                <w:rFonts w:hAnsi="宋体"/>
                <w:szCs w:val="18"/>
              </w:rPr>
              <w:t>=tan</w:t>
            </w:r>
            <w:r>
              <w:rPr>
                <w:rFonts w:hAnsi="宋体"/>
                <w:i/>
                <w:szCs w:val="21"/>
              </w:rPr>
              <w:t>α</w:t>
            </w:r>
          </w:p>
        </w:tc>
      </w:tr>
      <w:tr w14:paraId="0BD288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shd w:val="clear" w:color="auto" w:fill="auto"/>
            <w:vAlign w:val="center"/>
          </w:tcPr>
          <w:p w14:paraId="2F000719">
            <w:pPr>
              <w:pStyle w:val="180"/>
              <w:rPr>
                <w:rFonts w:hAnsi="宋体"/>
              </w:rPr>
            </w:pPr>
            <w:r>
              <w:rPr>
                <w:rFonts w:hAnsi="宋体"/>
                <w:szCs w:val="18"/>
              </w:rPr>
              <w:t>Rickenmann（1994）</w:t>
            </w:r>
          </w:p>
        </w:tc>
        <w:tc>
          <w:tcPr>
            <w:tcW w:w="6224" w:type="dxa"/>
            <w:shd w:val="clear" w:color="auto" w:fill="auto"/>
            <w:vAlign w:val="center"/>
          </w:tcPr>
          <w:p w14:paraId="2F1D22F3">
            <w:pPr>
              <w:pStyle w:val="180"/>
              <w:rPr>
                <w:rFonts w:hAnsi="宋体"/>
              </w:rPr>
            </w:pPr>
            <w:r>
              <w:rPr>
                <w:rFonts w:hAnsi="宋体"/>
                <w:i/>
                <w:szCs w:val="21"/>
              </w:rPr>
              <w:t>D</w:t>
            </w:r>
            <w:r>
              <w:rPr>
                <w:rFonts w:hAnsi="宋体"/>
                <w:szCs w:val="18"/>
              </w:rPr>
              <w:t>=25</w:t>
            </w:r>
            <w:r>
              <w:rPr>
                <w:rFonts w:hAnsi="宋体"/>
                <w:i/>
                <w:szCs w:val="21"/>
              </w:rPr>
              <w:t>V</w:t>
            </w:r>
            <w:r>
              <w:rPr>
                <w:rFonts w:hAnsi="宋体"/>
                <w:szCs w:val="18"/>
                <w:vertAlign w:val="superscript"/>
              </w:rPr>
              <w:t>0.3</w:t>
            </w:r>
          </w:p>
        </w:tc>
      </w:tr>
      <w:tr w14:paraId="0DE7A6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tcBorders>
              <w:bottom w:val="single" w:color="auto" w:sz="8" w:space="0"/>
            </w:tcBorders>
            <w:shd w:val="clear" w:color="auto" w:fill="auto"/>
            <w:vAlign w:val="center"/>
          </w:tcPr>
          <w:p w14:paraId="26BB9C98">
            <w:pPr>
              <w:pStyle w:val="180"/>
              <w:rPr>
                <w:rFonts w:hAnsi="宋体"/>
              </w:rPr>
            </w:pPr>
            <w:r>
              <w:rPr>
                <w:rFonts w:hAnsi="宋体"/>
                <w:szCs w:val="18"/>
              </w:rPr>
              <w:t>Rickenmann（1999）</w:t>
            </w:r>
          </w:p>
        </w:tc>
        <w:tc>
          <w:tcPr>
            <w:tcW w:w="6224" w:type="dxa"/>
            <w:shd w:val="clear" w:color="auto" w:fill="auto"/>
            <w:vAlign w:val="center"/>
          </w:tcPr>
          <w:p w14:paraId="06733C94">
            <w:pPr>
              <w:pStyle w:val="180"/>
              <w:rPr>
                <w:rFonts w:hAnsi="宋体"/>
              </w:rPr>
            </w:pPr>
            <w:r>
              <w:rPr>
                <w:rFonts w:hAnsi="宋体"/>
                <w:i/>
                <w:szCs w:val="21"/>
              </w:rPr>
              <w:t>D</w:t>
            </w:r>
            <w:r>
              <w:rPr>
                <w:rFonts w:hAnsi="宋体"/>
                <w:szCs w:val="18"/>
              </w:rPr>
              <w:t>=30（</w:t>
            </w:r>
            <w:r>
              <w:rPr>
                <w:rFonts w:hAnsi="宋体"/>
                <w:i/>
                <w:szCs w:val="21"/>
              </w:rPr>
              <w:t>VH</w:t>
            </w:r>
            <w:r>
              <w:rPr>
                <w:rFonts w:hAnsi="宋体"/>
                <w:szCs w:val="18"/>
              </w:rPr>
              <w:t>）</w:t>
            </w:r>
            <w:r>
              <w:rPr>
                <w:rFonts w:hAnsi="宋体"/>
                <w:szCs w:val="18"/>
                <w:vertAlign w:val="superscript"/>
              </w:rPr>
              <w:t>0.25</w:t>
            </w:r>
          </w:p>
        </w:tc>
      </w:tr>
      <w:tr w14:paraId="279E2B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tcBorders>
              <w:bottom w:val="single" w:color="auto" w:sz="8" w:space="0"/>
            </w:tcBorders>
            <w:shd w:val="clear" w:color="auto" w:fill="auto"/>
            <w:vAlign w:val="center"/>
          </w:tcPr>
          <w:p w14:paraId="0AEE20B5">
            <w:pPr>
              <w:pStyle w:val="180"/>
              <w:rPr>
                <w:rFonts w:hAnsi="宋体"/>
              </w:rPr>
            </w:pPr>
            <w:r>
              <w:rPr>
                <w:rFonts w:hAnsi="宋体"/>
                <w:szCs w:val="18"/>
              </w:rPr>
              <w:t>Lorente（2003）</w:t>
            </w:r>
          </w:p>
        </w:tc>
        <w:tc>
          <w:tcPr>
            <w:tcW w:w="6224" w:type="dxa"/>
            <w:tcBorders>
              <w:bottom w:val="single" w:color="auto" w:sz="8" w:space="0"/>
            </w:tcBorders>
            <w:shd w:val="clear" w:color="auto" w:fill="auto"/>
            <w:vAlign w:val="center"/>
          </w:tcPr>
          <w:p w14:paraId="6C698848">
            <w:pPr>
              <w:pStyle w:val="180"/>
              <w:rPr>
                <w:rFonts w:hAnsi="宋体"/>
              </w:rPr>
            </w:pPr>
            <w:r>
              <w:rPr>
                <w:rFonts w:hAnsi="宋体"/>
                <w:i/>
                <w:szCs w:val="21"/>
              </w:rPr>
              <w:t>D</w:t>
            </w:r>
            <w:r>
              <w:rPr>
                <w:rFonts w:hAnsi="宋体"/>
                <w:szCs w:val="18"/>
              </w:rPr>
              <w:t>=7.13（</w:t>
            </w:r>
            <w:r>
              <w:rPr>
                <w:rFonts w:hAnsi="宋体"/>
                <w:i/>
                <w:szCs w:val="21"/>
              </w:rPr>
              <w:t>VH</w:t>
            </w:r>
            <w:r>
              <w:rPr>
                <w:rFonts w:hAnsi="宋体"/>
                <w:szCs w:val="18"/>
              </w:rPr>
              <w:t>）</w:t>
            </w:r>
            <w:r>
              <w:rPr>
                <w:rFonts w:hAnsi="宋体"/>
                <w:szCs w:val="18"/>
                <w:vertAlign w:val="superscript"/>
              </w:rPr>
              <w:t>0.271</w:t>
            </w:r>
          </w:p>
        </w:tc>
      </w:tr>
      <w:tr w14:paraId="32AA7C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2"/>
            <w:tcBorders>
              <w:top w:val="single" w:color="auto" w:sz="8" w:space="0"/>
              <w:bottom w:val="single" w:color="auto" w:sz="8" w:space="0"/>
            </w:tcBorders>
            <w:shd w:val="clear" w:color="auto" w:fill="auto"/>
            <w:vAlign w:val="center"/>
          </w:tcPr>
          <w:p w14:paraId="7A01D08C">
            <w:pPr>
              <w:pStyle w:val="181"/>
              <w:rPr>
                <w:rFonts w:hAnsi="宋体"/>
              </w:rPr>
            </w:pPr>
            <w:r>
              <w:rPr>
                <w:rFonts w:hint="eastAsia" w:hAnsi="宋体"/>
              </w:rPr>
              <w:t>式中D为运动距离；V为灾害体积；H为高差；θ为斜坡的平均坡度；α为到达角；a为经验系数，计算第一次滑移距离时取0.5</w:t>
            </w:r>
          </w:p>
        </w:tc>
      </w:tr>
    </w:tbl>
    <w:p w14:paraId="1535ACA5">
      <w:pPr>
        <w:pStyle w:val="58"/>
        <w:ind w:firstLine="420"/>
      </w:pPr>
    </w:p>
    <w:p w14:paraId="4141E3F3">
      <w:pPr>
        <w:pStyle w:val="58"/>
        <w:ind w:firstLine="420"/>
      </w:pPr>
    </w:p>
    <w:p w14:paraId="4279C8E0">
      <w:pPr>
        <w:pStyle w:val="58"/>
        <w:ind w:firstLine="420"/>
        <w:sectPr>
          <w:headerReference r:id="rId26" w:type="default"/>
          <w:footerReference r:id="rId28" w:type="default"/>
          <w:headerReference r:id="rId27" w:type="even"/>
          <w:footerReference r:id="rId29" w:type="even"/>
          <w:pgSz w:w="11906" w:h="16838"/>
          <w:pgMar w:top="1928" w:right="1134" w:bottom="1134" w:left="1134" w:header="1418" w:footer="1134" w:gutter="284"/>
          <w:cols w:space="425" w:num="1"/>
          <w:formProt w:val="0"/>
          <w:docGrid w:type="lines" w:linePitch="312" w:charSpace="0"/>
        </w:sectPr>
      </w:pPr>
    </w:p>
    <w:p w14:paraId="33BBA9F9">
      <w:pPr>
        <w:pStyle w:val="200"/>
        <w:rPr>
          <w:vanish w:val="0"/>
        </w:rPr>
      </w:pPr>
    </w:p>
    <w:p w14:paraId="4DFA3C98">
      <w:pPr>
        <w:pStyle w:val="201"/>
        <w:rPr>
          <w:vanish w:val="0"/>
        </w:rPr>
      </w:pPr>
    </w:p>
    <w:p w14:paraId="6034607D">
      <w:pPr>
        <w:pStyle w:val="78"/>
        <w:spacing w:after="156"/>
      </w:pPr>
      <w:r>
        <w:br w:type="textWrapping"/>
      </w:r>
      <w:bookmarkStart w:id="368" w:name="_Toc176194189"/>
      <w:bookmarkStart w:id="369" w:name="_Toc178172393"/>
      <w:r>
        <w:rPr>
          <w:rFonts w:hint="eastAsia"/>
        </w:rPr>
        <w:t>（资料性）</w:t>
      </w:r>
      <w:r>
        <w:br w:type="textWrapping"/>
      </w:r>
      <w:r>
        <w:rPr>
          <w:rFonts w:hint="eastAsia"/>
        </w:rPr>
        <w:t>降雨阈值研究的主要方法</w:t>
      </w:r>
      <w:bookmarkEnd w:id="368"/>
      <w:bookmarkEnd w:id="369"/>
    </w:p>
    <w:p w14:paraId="3EA6D4EA">
      <w:pPr>
        <w:pStyle w:val="80"/>
        <w:spacing w:before="156" w:after="156"/>
      </w:pPr>
      <w:bookmarkStart w:id="370" w:name="_Toc178172394"/>
      <w:bookmarkStart w:id="371" w:name="_Toc176194190"/>
      <w:bookmarkStart w:id="372" w:name="_Toc168321630"/>
      <w:bookmarkStart w:id="373" w:name="_Toc168092306"/>
      <w:r>
        <w:rPr>
          <w:rFonts w:hint="eastAsia"/>
        </w:rPr>
        <w:t>基于过程降雨的统计学方法的降雨阈值</w:t>
      </w:r>
      <w:bookmarkEnd w:id="370"/>
      <w:bookmarkEnd w:id="371"/>
      <w:bookmarkEnd w:id="372"/>
      <w:bookmarkEnd w:id="373"/>
    </w:p>
    <w:p w14:paraId="564B6CB3">
      <w:pPr>
        <w:pStyle w:val="176"/>
        <w:numPr>
          <w:ilvl w:val="0"/>
          <w:numId w:val="62"/>
        </w:numPr>
      </w:pPr>
      <w:r>
        <w:rPr>
          <w:rFonts w:hint="eastAsia"/>
        </w:rPr>
        <w:t>资料收集</w:t>
      </w:r>
    </w:p>
    <w:p w14:paraId="2695FB4D">
      <w:pPr>
        <w:pStyle w:val="58"/>
        <w:ind w:firstLine="420"/>
      </w:pPr>
      <w:r>
        <w:rPr>
          <w:rFonts w:hint="eastAsia"/>
        </w:rPr>
        <w:t>收集调查区及周边一定范围内（可为调查区所在县（市、区）全域或周边相邻乡镇）有详细地质灾害发生记录以来的逐时过程降雨量资料，地质灾害编录信息，包含但不限于发生时间、空间位置等。</w:t>
      </w:r>
    </w:p>
    <w:p w14:paraId="62D67E81">
      <w:pPr>
        <w:pStyle w:val="176"/>
      </w:pPr>
      <w:r>
        <w:rPr>
          <w:rFonts w:hint="eastAsia"/>
        </w:rPr>
        <w:t>数据分析</w:t>
      </w:r>
    </w:p>
    <w:p w14:paraId="59C00A48">
      <w:pPr>
        <w:pStyle w:val="58"/>
        <w:ind w:firstLine="420"/>
      </w:pPr>
      <w:r>
        <w:rPr>
          <w:rFonts w:hint="eastAsia"/>
        </w:rPr>
        <w:t>根据已收集的地质灾害编录信息和过程降雨资料，分析提取引发地质灾害的一个降雨事件的特征（一个降雨事件指前、后各 24 小时内降雨小于 4mm 的一场连续降雨），降雨特征包 含但不限于降雨强度（I）、降雨历时（D）、过程累积雨量（E）等。</w:t>
      </w:r>
    </w:p>
    <w:p w14:paraId="375749D1">
      <w:pPr>
        <w:pStyle w:val="58"/>
        <w:ind w:firstLine="420"/>
      </w:pPr>
      <w:r>
        <w:rPr>
          <w:rFonts w:hint="eastAsia"/>
        </w:rPr>
        <w:t>选取两类降雨特征值进行拟合，获得阈值拟合曲线及阈值拟合方程，如降雨强度（</w:t>
      </w:r>
      <w:r>
        <w:t>I</w:t>
      </w:r>
      <w:r>
        <w:rPr>
          <w:rFonts w:hint="eastAsia"/>
        </w:rPr>
        <w:t>）—历时（</w:t>
      </w:r>
      <w:r>
        <w:t>D</w:t>
      </w:r>
      <w:r>
        <w:rPr>
          <w:rFonts w:hint="eastAsia"/>
        </w:rPr>
        <w:t>）阈值，过程累积雨量（</w:t>
      </w:r>
      <w:r>
        <w:t>E</w:t>
      </w:r>
      <w:r>
        <w:rPr>
          <w:rFonts w:hint="eastAsia"/>
        </w:rPr>
        <w:t>）—</w:t>
      </w:r>
      <w:r>
        <w:t xml:space="preserve"> </w:t>
      </w:r>
      <w:r>
        <w:rPr>
          <w:rFonts w:hint="eastAsia"/>
        </w:rPr>
        <w:t>降雨历时（</w:t>
      </w:r>
      <w:r>
        <w:t>D</w:t>
      </w:r>
      <w:r>
        <w:rPr>
          <w:rFonts w:hint="eastAsia"/>
        </w:rPr>
        <w:t>）阈值，</w:t>
      </w:r>
      <w:r>
        <w:t xml:space="preserve"> </w:t>
      </w:r>
      <w:r>
        <w:rPr>
          <w:rFonts w:hint="eastAsia"/>
        </w:rPr>
        <w:t>过程累积雨量（</w:t>
      </w:r>
      <w:r>
        <w:t>E</w:t>
      </w:r>
      <w:r>
        <w:rPr>
          <w:rFonts w:hint="eastAsia"/>
        </w:rPr>
        <w:t>）—</w:t>
      </w:r>
      <w:r>
        <w:t xml:space="preserve"> </w:t>
      </w:r>
      <w:r>
        <w:rPr>
          <w:rFonts w:hint="eastAsia"/>
        </w:rPr>
        <w:t>降雨强度</w:t>
      </w:r>
      <w:r>
        <w:t xml:space="preserve"> </w:t>
      </w:r>
      <w:r>
        <w:rPr>
          <w:rFonts w:hint="eastAsia"/>
        </w:rPr>
        <w:t>（</w:t>
      </w:r>
      <w:r>
        <w:t>I</w:t>
      </w:r>
      <w:r>
        <w:rPr>
          <w:rFonts w:hint="eastAsia"/>
        </w:rPr>
        <w:t>）等，检查并评价拟合精度。</w:t>
      </w:r>
    </w:p>
    <w:p w14:paraId="2AB7B2B7">
      <w:pPr>
        <w:pStyle w:val="176"/>
      </w:pPr>
      <w:r>
        <w:rPr>
          <w:rFonts w:hint="eastAsia"/>
        </w:rPr>
        <w:t>阈值计算</w:t>
      </w:r>
    </w:p>
    <w:p w14:paraId="644FDD83">
      <w:pPr>
        <w:pStyle w:val="58"/>
        <w:ind w:firstLine="420"/>
      </w:pPr>
      <w:r>
        <w:rPr>
          <w:rFonts w:hint="eastAsia"/>
        </w:rPr>
        <w:t>根据阈值拟合方程，计算 1h 、3h 、6h 、12h 和 24h 降雨量阈值，计算方法如下：</w:t>
      </w:r>
    </w:p>
    <w:p w14:paraId="66F1CBEB">
      <w:pPr>
        <w:pStyle w:val="111"/>
        <w:numPr>
          <w:ilvl w:val="1"/>
          <w:numId w:val="63"/>
        </w:numPr>
      </w:pPr>
      <w:r>
        <w:rPr>
          <w:rFonts w:hint="eastAsia"/>
        </w:rPr>
        <w:t>将引发地质灾害的降雨事件历时（单位： h）和降雨强度（单位：mm/h）分别展布至 双对数坐标纸上。其中历时为横坐标，降雨强度为纵坐标，坐标区域内的点表示发生一次地 质灾害的样本。</w:t>
      </w:r>
    </w:p>
    <w:p w14:paraId="6528F4B3">
      <w:pPr>
        <w:pStyle w:val="111"/>
      </w:pPr>
      <w:r>
        <w:rPr>
          <w:rFonts w:hint="eastAsia"/>
        </w:rPr>
        <w:t>对坐标区域内的样本点进行拟合，拟合方程见公式J</w:t>
      </w:r>
      <w:r>
        <w:t>.1</w:t>
      </w:r>
      <w:r>
        <w:rPr>
          <w:rFonts w:hint="eastAsia"/>
        </w:rPr>
        <w:t>。</w:t>
      </w:r>
    </w:p>
    <w:p w14:paraId="54898509">
      <w:pPr>
        <w:pStyle w:val="111"/>
      </w:pPr>
      <w:r>
        <w:rPr>
          <w:rFonts w:hint="eastAsia"/>
        </w:rPr>
        <w:t>拟合方程即为地质灾害降雨强度（I）—历时（D）阈值曲线方程，表示一个降雨事件 在某降雨历时条件下可能引发地质灾害的平均降雨强度。将 1h 、3h 、6h 、12h 和 24h 降雨历时值代入方程，即可计算获得相应降雨历时条件下引发地质灾害的降雨量阈值。</w:t>
      </w:r>
    </w:p>
    <w:p w14:paraId="3720FB71">
      <w:pPr>
        <w:pStyle w:val="115"/>
      </w:pPr>
      <w:r>
        <w:rPr>
          <w:rFonts w:hint="eastAsia"/>
        </w:rPr>
        <w:tab/>
      </w:r>
      <m:oMath>
        <m:r>
          <m:rPr/>
          <w:rPr>
            <w:rFonts w:ascii="Cambria Math" w:hAnsi="Cambria Math"/>
          </w:rPr>
          <m:t>I=</m:t>
        </m:r>
        <m:sSup>
          <m:sSupPr>
            <m:ctrlPr>
              <w:rPr>
                <w:rFonts w:ascii="Cambria Math" w:hAnsi="Cambria Math"/>
                <w:i/>
              </w:rPr>
            </m:ctrlPr>
          </m:sSupPr>
          <m:e>
            <m:r>
              <m:rPr/>
              <w:rPr>
                <w:rFonts w:ascii="Cambria Math" w:hAnsi="Cambria Math"/>
              </w:rPr>
              <m:t>CD</m:t>
            </m:r>
            <m:ctrlPr>
              <w:rPr>
                <w:rFonts w:ascii="Cambria Math" w:hAnsi="Cambria Math"/>
                <w:i/>
              </w:rPr>
            </m:ctrlPr>
          </m:e>
          <m:sup>
            <m:r>
              <m:rPr/>
              <w:rPr>
                <w:rFonts w:ascii="Cambria Math" w:hAnsi="Cambria Math"/>
              </w:rPr>
              <m:t>−</m:t>
            </m:r>
            <m:r>
              <m:rPr/>
              <w:rPr>
                <w:rFonts w:hint="eastAsia" w:ascii="Cambria Math" w:hAnsi="Cambria Math"/>
              </w:rPr>
              <m:t>a</m:t>
            </m:r>
            <m:ctrlPr>
              <w:rPr>
                <w:rFonts w:ascii="Cambria Math" w:hAnsi="Cambria Math"/>
                <w:i/>
              </w:rPr>
            </m:ctrlPr>
          </m:sup>
        </m:sSup>
      </m:oMath>
      <w:r>
        <w:rPr>
          <w:rFonts w:hint="eastAsia" w:ascii="微软雅黑" w:hAnsi="微软雅黑" w:eastAsia="微软雅黑"/>
        </w:rPr>
        <w:tab/>
      </w:r>
      <w:r>
        <w:t>(J.</w:t>
      </w:r>
      <w:r>
        <w:fldChar w:fldCharType="begin"/>
      </w:r>
      <w:r>
        <w:instrText xml:space="preserve"> seq fulu_equation_133678663059928719 </w:instrText>
      </w:r>
      <w:r>
        <w:fldChar w:fldCharType="separate"/>
      </w:r>
      <w:r>
        <w:t>1</w:t>
      </w:r>
      <w:r>
        <w:fldChar w:fldCharType="end"/>
      </w:r>
      <w:r>
        <w:t>)</w:t>
      </w:r>
    </w:p>
    <w:p w14:paraId="6B86301D">
      <w:pPr>
        <w:pStyle w:val="57"/>
        <w:ind w:firstLine="420"/>
      </w:pPr>
      <w:r>
        <w:rPr>
          <w:rFonts w:hint="eastAsia"/>
        </w:rPr>
        <w:t>式中：</w:t>
      </w:r>
    </w:p>
    <w:p w14:paraId="0AF1380C">
      <w:pPr>
        <w:pStyle w:val="58"/>
        <w:ind w:firstLine="420"/>
      </w:pPr>
      <w:r>
        <w:rPr>
          <w:rFonts w:hint="eastAsia"/>
        </w:rPr>
        <w:t>I ——平均降雨强度（mm/h）；</w:t>
      </w:r>
    </w:p>
    <w:p w14:paraId="62FFDA02">
      <w:pPr>
        <w:pStyle w:val="58"/>
        <w:ind w:firstLine="420"/>
      </w:pPr>
      <w:r>
        <w:rPr>
          <w:rFonts w:hint="eastAsia"/>
        </w:rPr>
        <w:t>D ——是降雨历时（h）；</w:t>
      </w:r>
    </w:p>
    <w:p w14:paraId="0C5B5AAB">
      <w:pPr>
        <w:pStyle w:val="58"/>
        <w:ind w:firstLine="420"/>
      </w:pPr>
      <w:r>
        <w:rPr>
          <w:rFonts w:hint="eastAsia"/>
        </w:rPr>
        <w:t>C ——是比例常数， 其物理意义是 降雨历时 D=1 时引发地质灾害的降雨量；</w:t>
      </w:r>
    </w:p>
    <w:p w14:paraId="27B200BA">
      <w:pPr>
        <w:pStyle w:val="58"/>
        <w:ind w:firstLine="420"/>
      </w:pPr>
      <w:r>
        <w:rPr>
          <w:rFonts w:hint="eastAsia"/>
        </w:rPr>
        <w:t>a ——是双对数坐标图上对降雨强度（I）—历时（D） 进行拟合得到的直线的斜率，也称标度指数。</w:t>
      </w:r>
    </w:p>
    <w:p w14:paraId="51BD8B69">
      <w:pPr>
        <w:pStyle w:val="80"/>
        <w:spacing w:before="156" w:after="156"/>
      </w:pPr>
      <w:bookmarkStart w:id="374" w:name="_Toc168092307"/>
      <w:bookmarkStart w:id="375" w:name="_Toc168321631"/>
      <w:bookmarkStart w:id="376" w:name="_Toc176194191"/>
      <w:bookmarkStart w:id="377" w:name="_Toc178172395"/>
      <w:r>
        <w:rPr>
          <w:rFonts w:hint="eastAsia"/>
        </w:rPr>
        <w:t>基于前期降雨的统计学方法降雨阈值</w:t>
      </w:r>
      <w:bookmarkEnd w:id="374"/>
      <w:bookmarkEnd w:id="375"/>
      <w:bookmarkEnd w:id="376"/>
      <w:bookmarkEnd w:id="377"/>
    </w:p>
    <w:p w14:paraId="05C6EE00">
      <w:pPr>
        <w:pStyle w:val="176"/>
        <w:numPr>
          <w:ilvl w:val="0"/>
          <w:numId w:val="64"/>
        </w:numPr>
      </w:pPr>
      <w:r>
        <w:rPr>
          <w:rFonts w:hint="eastAsia"/>
        </w:rPr>
        <w:t>资料收集</w:t>
      </w:r>
    </w:p>
    <w:p w14:paraId="3BA52641">
      <w:pPr>
        <w:pStyle w:val="58"/>
        <w:ind w:firstLine="420"/>
      </w:pPr>
      <w:r>
        <w:rPr>
          <w:rFonts w:hint="eastAsia"/>
        </w:rPr>
        <w:t>收集调查区及周边一定范围内（可为调查区所在县、市、区全域或周边相邻乡镇）有详细地质灾害发生记录以来的逐时过程降雨量资料，地质灾害编录信息，包含但不限于发生时间、空间位置等。</w:t>
      </w:r>
    </w:p>
    <w:p w14:paraId="49B9648E">
      <w:pPr>
        <w:pStyle w:val="176"/>
      </w:pPr>
      <w:r>
        <w:rPr>
          <w:rFonts w:hint="eastAsia"/>
        </w:rPr>
        <w:t>数据分析</w:t>
      </w:r>
    </w:p>
    <w:p w14:paraId="6853665D">
      <w:pPr>
        <w:pStyle w:val="58"/>
        <w:ind w:firstLine="420"/>
      </w:pPr>
      <w:r>
        <w:rPr>
          <w:rFonts w:hint="eastAsia"/>
        </w:rPr>
        <w:t>根据已收集的地质灾害编录信息和过程降雨资料，分析提取地质灾害发生前一定时间段的前期降雨量和地质灾害发生前的临界降雨量。</w:t>
      </w:r>
    </w:p>
    <w:p w14:paraId="628AE243">
      <w:pPr>
        <w:pStyle w:val="58"/>
        <w:ind w:firstLine="420"/>
      </w:pPr>
      <w:r>
        <w:rPr>
          <w:rFonts w:hint="eastAsia"/>
        </w:rPr>
        <w:t>拟合前期降雨量和临界降雨量，获得阈值拟合曲线及阈值拟合方程，检查并评价拟合精度。</w:t>
      </w:r>
    </w:p>
    <w:p w14:paraId="05171470">
      <w:pPr>
        <w:pStyle w:val="176"/>
      </w:pPr>
      <w:r>
        <w:rPr>
          <w:rFonts w:hint="eastAsia"/>
        </w:rPr>
        <w:t>阈值计算</w:t>
      </w:r>
    </w:p>
    <w:p w14:paraId="6177B5F9">
      <w:pPr>
        <w:pStyle w:val="58"/>
        <w:ind w:firstLine="420"/>
      </w:pPr>
      <w:r>
        <w:rPr>
          <w:rFonts w:hint="eastAsia"/>
        </w:rPr>
        <w:t>根据阈值拟合方程，计算不同前期降雨条件下 1h 、3h 、6h 、12h 和 24h 降雨量阈值。 计算方法如下：</w:t>
      </w:r>
    </w:p>
    <w:p w14:paraId="488CEE85">
      <w:pPr>
        <w:pStyle w:val="111"/>
        <w:numPr>
          <w:ilvl w:val="1"/>
          <w:numId w:val="65"/>
        </w:numPr>
      </w:pPr>
      <w:r>
        <w:rPr>
          <w:rFonts w:hint="eastAsia"/>
        </w:rPr>
        <w:t>分析地质灾害发生频数最大的区域所对应的前期降雨量确定为调查区前期降雨量的临 界值。表示前期降雨大于临界值时，地质灾害均有可能发生，且与临界降雨量无关。</w:t>
      </w:r>
    </w:p>
    <w:p w14:paraId="61A72EB8">
      <w:pPr>
        <w:pStyle w:val="111"/>
      </w:pPr>
      <w:r>
        <w:rPr>
          <w:rFonts w:hint="eastAsia"/>
        </w:rPr>
        <w:t>以前期降雨临界值为起点， 分别拟合绘制地质灾害发生前 1h 、3h 、6h 、12h、24h 降雨 量下边界线。拟合方程为见公式J.2</w:t>
      </w:r>
    </w:p>
    <w:p w14:paraId="65B830D8">
      <w:pPr>
        <w:pStyle w:val="111"/>
      </w:pPr>
      <w:r>
        <w:rPr>
          <w:rFonts w:hint="eastAsia"/>
        </w:rPr>
        <w:t>拟合方程即为地质灾害前期降雨量（A）— 临界降雨量（C）阈值曲线方程，表示一个降雨事件在某降雨历时条件下可能引发地质灾害的平均降雨强度。将前期降雨量值代入方程，即可计算获得相应前期降雨量条件下引发地质灾害的降雨量阈值。</w:t>
      </w:r>
    </w:p>
    <w:p w14:paraId="269BD33B">
      <w:pPr>
        <w:pStyle w:val="115"/>
      </w:pPr>
      <w:r>
        <w:rPr>
          <w:rFonts w:hint="eastAsia"/>
        </w:rPr>
        <w:tab/>
      </w:r>
      <m:oMath>
        <m:r>
          <m:rPr/>
          <w:rPr>
            <w:rFonts w:ascii="Cambria Math" w:hAnsi="Cambria Math"/>
          </w:rPr>
          <m:t>C=</m:t>
        </m:r>
        <m:r>
          <m:rPr/>
          <w:rPr>
            <w:rFonts w:hint="eastAsia" w:ascii="Cambria Math" w:hAnsi="Cambria Math"/>
          </w:rPr>
          <m:t>a</m:t>
        </m:r>
        <m:r>
          <m:rPr/>
          <w:rPr>
            <w:rFonts w:ascii="Cambria Math" w:hAnsi="Cambria Math"/>
          </w:rPr>
          <m:t>−</m:t>
        </m:r>
        <m:r>
          <m:rPr/>
          <w:rPr>
            <w:rFonts w:hint="eastAsia" w:ascii="Cambria Math" w:hAnsi="Cambria Math"/>
          </w:rPr>
          <m:t>b</m:t>
        </m:r>
        <m:r>
          <m:rPr/>
          <w:rPr>
            <w:rFonts w:ascii="Cambria Math" w:hAnsi="Cambria Math"/>
          </w:rPr>
          <m:t>A</m:t>
        </m:r>
      </m:oMath>
      <w:r>
        <w:rPr>
          <w:rFonts w:hint="eastAsia" w:ascii="微软雅黑" w:hAnsi="微软雅黑" w:eastAsia="微软雅黑"/>
        </w:rPr>
        <w:tab/>
      </w:r>
      <w:r>
        <w:t>(J.</w:t>
      </w:r>
      <w:r>
        <w:fldChar w:fldCharType="begin"/>
      </w:r>
      <w:r>
        <w:instrText xml:space="preserve">  seq fulu_equation_133678663059928719  </w:instrText>
      </w:r>
      <w:r>
        <w:fldChar w:fldCharType="separate"/>
      </w:r>
      <w:r>
        <w:t>2</w:t>
      </w:r>
      <w:r>
        <w:fldChar w:fldCharType="end"/>
      </w:r>
      <w:r>
        <w:t>)</w:t>
      </w:r>
    </w:p>
    <w:p w14:paraId="0880BFBA">
      <w:pPr>
        <w:pStyle w:val="57"/>
        <w:ind w:firstLine="420"/>
      </w:pPr>
      <w:r>
        <w:rPr>
          <w:rFonts w:hint="eastAsia"/>
        </w:rPr>
        <w:t>式中：</w:t>
      </w:r>
    </w:p>
    <w:p w14:paraId="088141B3">
      <w:pPr>
        <w:pStyle w:val="58"/>
        <w:ind w:firstLine="420"/>
        <w:rPr>
          <w:rFonts w:ascii="Times New Roman"/>
          <w:szCs w:val="21"/>
        </w:rPr>
      </w:pPr>
      <w:r>
        <w:rPr>
          <w:rFonts w:ascii="Times New Roman"/>
          <w:szCs w:val="21"/>
        </w:rPr>
        <w:t xml:space="preserve">C </w:t>
      </w:r>
      <w:r>
        <w:rPr>
          <w:rFonts w:hint="eastAsia"/>
        </w:rPr>
        <w:t>——</w:t>
      </w:r>
      <w:r>
        <w:rPr>
          <w:rFonts w:ascii="Times New Roman"/>
          <w:szCs w:val="21"/>
        </w:rPr>
        <w:t>临界降雨量（mm）；</w:t>
      </w:r>
    </w:p>
    <w:p w14:paraId="61C23735">
      <w:pPr>
        <w:pStyle w:val="58"/>
        <w:ind w:firstLine="420"/>
        <w:rPr>
          <w:rFonts w:ascii="Times New Roman"/>
          <w:szCs w:val="21"/>
        </w:rPr>
      </w:pPr>
      <w:r>
        <w:rPr>
          <w:rFonts w:ascii="Times New Roman"/>
          <w:szCs w:val="21"/>
        </w:rPr>
        <w:t xml:space="preserve">A </w:t>
      </w:r>
      <w:r>
        <w:rPr>
          <w:rFonts w:hint="eastAsia"/>
        </w:rPr>
        <w:t>——</w:t>
      </w:r>
      <w:r>
        <w:rPr>
          <w:rFonts w:ascii="Times New Roman"/>
          <w:szCs w:val="21"/>
        </w:rPr>
        <w:t>前期降雨量（mm）；</w:t>
      </w:r>
    </w:p>
    <w:p w14:paraId="72CCDB85">
      <w:pPr>
        <w:pStyle w:val="58"/>
        <w:ind w:firstLine="420"/>
        <w:rPr>
          <w:rFonts w:ascii="Times New Roman"/>
          <w:szCs w:val="21"/>
        </w:rPr>
      </w:pPr>
      <w:r>
        <w:rPr>
          <w:rFonts w:ascii="Times New Roman"/>
          <w:szCs w:val="21"/>
        </w:rPr>
        <w:t xml:space="preserve">a </w:t>
      </w:r>
      <w:r>
        <w:rPr>
          <w:rFonts w:hint="eastAsia"/>
        </w:rPr>
        <w:t>——</w:t>
      </w:r>
      <w:r>
        <w:rPr>
          <w:rFonts w:ascii="Times New Roman"/>
          <w:szCs w:val="21"/>
        </w:rPr>
        <w:t>拟合曲线在临界降雨量轴上的截距，其物理意义是前期降雨量 A=0 时引发地质灾害的临界降雨量阈值；</w:t>
      </w:r>
    </w:p>
    <w:p w14:paraId="380E7367">
      <w:pPr>
        <w:pStyle w:val="58"/>
        <w:ind w:firstLine="420"/>
      </w:pPr>
      <w:r>
        <w:rPr>
          <w:rFonts w:ascii="Times New Roman"/>
          <w:szCs w:val="21"/>
        </w:rPr>
        <w:t xml:space="preserve">b </w:t>
      </w:r>
      <w:r>
        <w:rPr>
          <w:rFonts w:hint="eastAsia"/>
        </w:rPr>
        <w:t>——</w:t>
      </w:r>
      <w:r>
        <w:rPr>
          <w:rFonts w:ascii="Times New Roman"/>
          <w:szCs w:val="21"/>
        </w:rPr>
        <w:t>笛卡尔坐标图上对临界降雨量（C）—前期降雨量（A）进行拟合得到的直线的斜率。</w:t>
      </w:r>
    </w:p>
    <w:p w14:paraId="2BDF2439">
      <w:pPr>
        <w:pStyle w:val="58"/>
        <w:ind w:firstLine="420"/>
      </w:pPr>
    </w:p>
    <w:p w14:paraId="1799B135">
      <w:pPr>
        <w:pStyle w:val="58"/>
        <w:ind w:firstLine="420"/>
      </w:pPr>
    </w:p>
    <w:p w14:paraId="2DC51CAC">
      <w:pPr>
        <w:pStyle w:val="58"/>
        <w:ind w:firstLine="420"/>
        <w:sectPr>
          <w:pgSz w:w="11906" w:h="16838"/>
          <w:pgMar w:top="1928" w:right="1134" w:bottom="1134" w:left="1134" w:header="1418" w:footer="1134" w:gutter="284"/>
          <w:cols w:space="425" w:num="1"/>
          <w:formProt w:val="0"/>
          <w:docGrid w:type="lines" w:linePitch="312" w:charSpace="0"/>
        </w:sectPr>
      </w:pPr>
    </w:p>
    <w:p w14:paraId="17BD7A10">
      <w:pPr>
        <w:pStyle w:val="200"/>
        <w:rPr>
          <w:vanish w:val="0"/>
        </w:rPr>
      </w:pPr>
    </w:p>
    <w:p w14:paraId="7AF2F9F1">
      <w:pPr>
        <w:pStyle w:val="201"/>
        <w:rPr>
          <w:vanish w:val="0"/>
        </w:rPr>
      </w:pPr>
    </w:p>
    <w:p w14:paraId="554BDC51">
      <w:pPr>
        <w:pStyle w:val="78"/>
        <w:spacing w:after="156"/>
      </w:pPr>
      <w:r>
        <w:br w:type="textWrapping"/>
      </w:r>
      <w:bookmarkStart w:id="378" w:name="_Toc178172396"/>
      <w:bookmarkStart w:id="379" w:name="_Toc176194192"/>
      <w:r>
        <w:rPr>
          <w:rFonts w:hint="eastAsia"/>
        </w:rPr>
        <w:t>（资料性）</w:t>
      </w:r>
      <w:r>
        <w:br w:type="textWrapping"/>
      </w:r>
      <w:r>
        <w:rPr>
          <w:rFonts w:hint="eastAsia"/>
        </w:rPr>
        <w:t>地质灾害风险区风险管控图册编制要求</w:t>
      </w:r>
      <w:bookmarkEnd w:id="378"/>
      <w:bookmarkEnd w:id="379"/>
    </w:p>
    <w:p w14:paraId="16AE059D">
      <w:pPr>
        <w:pStyle w:val="58"/>
        <w:ind w:firstLine="420"/>
      </w:pPr>
      <w:r>
        <w:rPr>
          <w:rFonts w:hint="eastAsia"/>
        </w:rPr>
        <w:t>一、图册名称:《××县（市、区）××乡镇（街道）地质灾害风险区风险管控图册》。</w:t>
      </w:r>
    </w:p>
    <w:p w14:paraId="2D1A0A50">
      <w:pPr>
        <w:pStyle w:val="58"/>
        <w:ind w:firstLine="420"/>
      </w:pPr>
      <w:r>
        <w:rPr>
          <w:rFonts w:hint="eastAsia"/>
        </w:rPr>
        <w:t>二、图册组成</w:t>
      </w:r>
    </w:p>
    <w:p w14:paraId="5B0A7454">
      <w:pPr>
        <w:pStyle w:val="58"/>
        <w:ind w:firstLine="420"/>
      </w:pPr>
      <w:r>
        <w:rPr>
          <w:rFonts w:hint="eastAsia"/>
        </w:rPr>
        <w:t>1.封面、扉页（责任签）、目录；</w:t>
      </w:r>
    </w:p>
    <w:p w14:paraId="3B1DAF7B">
      <w:pPr>
        <w:pStyle w:val="58"/>
        <w:ind w:firstLine="420"/>
      </w:pPr>
      <w:r>
        <w:rPr>
          <w:rFonts w:hint="eastAsia"/>
        </w:rPr>
        <w:t>2.前言；</w:t>
      </w:r>
    </w:p>
    <w:p w14:paraId="7CE1C9E9">
      <w:pPr>
        <w:pStyle w:val="58"/>
        <w:ind w:firstLine="420"/>
      </w:pPr>
      <w:r>
        <w:rPr>
          <w:rFonts w:hint="eastAsia"/>
        </w:rPr>
        <w:t>3.索引图；</w:t>
      </w:r>
    </w:p>
    <w:p w14:paraId="7D0BF3BD">
      <w:pPr>
        <w:pStyle w:val="58"/>
        <w:ind w:firstLine="420"/>
      </w:pPr>
      <w:r>
        <w:rPr>
          <w:rFonts w:hint="eastAsia"/>
        </w:rPr>
        <w:t>4.地质灾害风险区村庄防灾避险方案；</w:t>
      </w:r>
    </w:p>
    <w:p w14:paraId="4E92A2DA">
      <w:pPr>
        <w:pStyle w:val="58"/>
        <w:ind w:firstLine="420"/>
      </w:pPr>
      <w:r>
        <w:rPr>
          <w:rFonts w:hint="eastAsia"/>
        </w:rPr>
        <w:t>5.地质灾害风险区分布图；</w:t>
      </w:r>
    </w:p>
    <w:p w14:paraId="6A7E7583">
      <w:pPr>
        <w:pStyle w:val="58"/>
        <w:ind w:firstLine="420"/>
      </w:pPr>
      <w:r>
        <w:rPr>
          <w:rFonts w:hint="eastAsia"/>
        </w:rPr>
        <w:t>6.地质灾害风险区防灾避险方案图、表。</w:t>
      </w:r>
    </w:p>
    <w:p w14:paraId="106F0726">
      <w:pPr>
        <w:pStyle w:val="58"/>
        <w:ind w:firstLine="420"/>
      </w:pPr>
      <w:r>
        <w:rPr>
          <w:rFonts w:hint="eastAsia"/>
        </w:rPr>
        <w:t>三、编制要求</w:t>
      </w:r>
    </w:p>
    <w:p w14:paraId="0E71E724">
      <w:pPr>
        <w:pStyle w:val="58"/>
        <w:ind w:firstLine="420"/>
      </w:pPr>
      <w:r>
        <w:rPr>
          <w:rFonts w:hint="eastAsia"/>
        </w:rPr>
        <w:t>（一）前言</w:t>
      </w:r>
    </w:p>
    <w:p w14:paraId="42BD1B9B">
      <w:pPr>
        <w:pStyle w:val="58"/>
        <w:ind w:firstLine="420"/>
      </w:pPr>
      <w:r>
        <w:rPr>
          <w:rFonts w:hint="eastAsia"/>
        </w:rPr>
        <w:t>概要说明所在乡镇（街道）概况、地质灾害发育分布概况、图册编制目的、编图资料来源（包括遥感数据源情况）、编制方法、图册主要内容和图册使用方法等。</w:t>
      </w:r>
    </w:p>
    <w:p w14:paraId="6BD8E6BE">
      <w:pPr>
        <w:pStyle w:val="58"/>
        <w:ind w:firstLine="420"/>
      </w:pPr>
      <w:r>
        <w:rPr>
          <w:rFonts w:hint="eastAsia"/>
        </w:rPr>
        <w:t>（二）索引图</w:t>
      </w:r>
    </w:p>
    <w:p w14:paraId="7B18F444">
      <w:pPr>
        <w:pStyle w:val="58"/>
        <w:ind w:firstLine="420"/>
      </w:pPr>
      <w:r>
        <w:rPr>
          <w:rFonts w:hint="eastAsia"/>
        </w:rPr>
        <w:t>编图范围为乡镇（街道）所辖范围，图幅大小按A3幅面，以行政区划（行政村）和水系等为底图，标明编制地质灾害风险区村庄所在位置。</w:t>
      </w:r>
    </w:p>
    <w:p w14:paraId="075FCE9E">
      <w:pPr>
        <w:pStyle w:val="58"/>
        <w:ind w:firstLine="420"/>
      </w:pPr>
      <w:r>
        <w:rPr>
          <w:rFonts w:hint="eastAsia"/>
        </w:rPr>
        <w:t>（三）地质灾害风险区村庄防灾避险方案</w:t>
      </w:r>
    </w:p>
    <w:p w14:paraId="018624E5">
      <w:pPr>
        <w:pStyle w:val="58"/>
        <w:ind w:firstLine="420"/>
      </w:pPr>
      <w:r>
        <w:rPr>
          <w:rFonts w:hint="eastAsia"/>
        </w:rPr>
        <w:t>在最不利工况下，有中等（含）以上风险区的行政村均需编制防灾避险方案（风险分布图、防灾避险方案图、表）。文字以不超过1页（A3）为宜，主要内容如下：</w:t>
      </w:r>
    </w:p>
    <w:p w14:paraId="12422017">
      <w:pPr>
        <w:pStyle w:val="58"/>
        <w:ind w:firstLine="420"/>
      </w:pPr>
      <w:r>
        <w:rPr>
          <w:rFonts w:hint="eastAsia"/>
        </w:rPr>
        <w:t>1.概况</w:t>
      </w:r>
    </w:p>
    <w:p w14:paraId="0DD5BCFF">
      <w:pPr>
        <w:pStyle w:val="58"/>
        <w:ind w:firstLine="420"/>
      </w:pPr>
      <w:r>
        <w:rPr>
          <w:rFonts w:hint="eastAsia"/>
        </w:rPr>
        <w:t>行政村地理位置和社会经济概况等。</w:t>
      </w:r>
    </w:p>
    <w:p w14:paraId="5BC028D0">
      <w:pPr>
        <w:pStyle w:val="58"/>
        <w:ind w:firstLine="420"/>
      </w:pPr>
      <w:r>
        <w:rPr>
          <w:rFonts w:hint="eastAsia"/>
        </w:rPr>
        <w:t>2.地质环境特征</w:t>
      </w:r>
    </w:p>
    <w:p w14:paraId="75EA8F29">
      <w:pPr>
        <w:pStyle w:val="58"/>
        <w:ind w:firstLine="420"/>
      </w:pPr>
      <w:r>
        <w:rPr>
          <w:rFonts w:hint="eastAsia"/>
        </w:rPr>
        <w:t>地形地貌、地层与构造、岩土体工程地质特征、人类活动特征等。</w:t>
      </w:r>
    </w:p>
    <w:p w14:paraId="42830717">
      <w:pPr>
        <w:pStyle w:val="58"/>
        <w:ind w:firstLine="420"/>
      </w:pPr>
      <w:r>
        <w:rPr>
          <w:rFonts w:hint="eastAsia"/>
        </w:rPr>
        <w:t>3.地质灾害状况</w:t>
      </w:r>
    </w:p>
    <w:p w14:paraId="37B3C61D">
      <w:pPr>
        <w:pStyle w:val="58"/>
        <w:ind w:firstLine="420"/>
      </w:pPr>
      <w:r>
        <w:rPr>
          <w:rFonts w:hint="eastAsia"/>
        </w:rPr>
        <w:t>地质灾害发生情况，包括类型、规模、数量及造成的损失。</w:t>
      </w:r>
    </w:p>
    <w:p w14:paraId="06C40853">
      <w:pPr>
        <w:pStyle w:val="58"/>
        <w:ind w:firstLine="420"/>
      </w:pPr>
      <w:r>
        <w:rPr>
          <w:rFonts w:hint="eastAsia"/>
        </w:rPr>
        <w:t>4.地质灾害风险区分布情况</w:t>
      </w:r>
    </w:p>
    <w:p w14:paraId="29801E10">
      <w:pPr>
        <w:pStyle w:val="58"/>
        <w:ind w:firstLine="420"/>
      </w:pPr>
      <w:r>
        <w:rPr>
          <w:rFonts w:hint="eastAsia"/>
        </w:rPr>
        <w:t>不同等级风险区的数量、面积、影响人口等。</w:t>
      </w:r>
    </w:p>
    <w:p w14:paraId="330E1159">
      <w:pPr>
        <w:pStyle w:val="58"/>
        <w:ind w:firstLine="420"/>
      </w:pPr>
      <w:r>
        <w:rPr>
          <w:rFonts w:hint="eastAsia"/>
        </w:rPr>
        <w:t>5.防治对策建议</w:t>
      </w:r>
    </w:p>
    <w:p w14:paraId="3DBC4C63">
      <w:pPr>
        <w:pStyle w:val="58"/>
        <w:ind w:firstLine="420"/>
      </w:pPr>
      <w:r>
        <w:rPr>
          <w:rFonts w:hint="eastAsia"/>
        </w:rPr>
        <w:t>提出不同等级风险区的防治对策建议，包括巡查排查、专业监测、工程治理、避让搬迁等；应急避险措施，避险场所位置、可容纳人数等。</w:t>
      </w:r>
    </w:p>
    <w:p w14:paraId="7BCB4F9F">
      <w:pPr>
        <w:pStyle w:val="58"/>
        <w:ind w:firstLine="420"/>
      </w:pPr>
      <w:r>
        <w:rPr>
          <w:rFonts w:hint="eastAsia"/>
        </w:rPr>
        <w:t>（四）地质灾害风险区分布图</w:t>
      </w:r>
    </w:p>
    <w:p w14:paraId="41BA88EA">
      <w:pPr>
        <w:pStyle w:val="58"/>
        <w:ind w:firstLine="420"/>
      </w:pPr>
      <w:r>
        <w:rPr>
          <w:rFonts w:hint="eastAsia"/>
        </w:rPr>
        <w:t>展示行政村在最不利工况下的地质灾害风险区分布。</w:t>
      </w:r>
    </w:p>
    <w:p w14:paraId="2C23401E">
      <w:pPr>
        <w:pStyle w:val="58"/>
        <w:ind w:firstLine="420"/>
      </w:pPr>
      <w:r>
        <w:rPr>
          <w:rFonts w:hint="eastAsia"/>
        </w:rPr>
        <w:t>1、编图范围为行政村所辖区域，图幅大小为A3幅面。</w:t>
      </w:r>
    </w:p>
    <w:p w14:paraId="5F5F80D5">
      <w:pPr>
        <w:pStyle w:val="58"/>
        <w:ind w:firstLine="420"/>
      </w:pPr>
      <w:r>
        <w:rPr>
          <w:rFonts w:hint="eastAsia"/>
        </w:rPr>
        <w:t>2、以地理地质图为底图。地理要素包括地形等高线（计曲线）、河流、湖泊、水库、铁路、公路以及城镇、集镇、行政村及村界、重要设施、学校等。</w:t>
      </w:r>
    </w:p>
    <w:p w14:paraId="6DDE6596">
      <w:pPr>
        <w:pStyle w:val="58"/>
        <w:ind w:firstLine="420"/>
      </w:pPr>
      <w:r>
        <w:rPr>
          <w:rFonts w:hint="eastAsia"/>
        </w:rPr>
        <w:t>3、以普染色表示地质灾害风险分区，标明不同等级风险范围、编号（相邻且同等级风险区可以合并）、重要典型斜坡、地段或区域（地质灾害及隐患点）、应急避险场所位置。以乡镇（街道）行政区划简图作为镶图，注明该行政村在乡镇（街道）内的位置。</w:t>
      </w:r>
    </w:p>
    <w:p w14:paraId="07EC0F27">
      <w:pPr>
        <w:pStyle w:val="58"/>
        <w:ind w:firstLine="420"/>
      </w:pPr>
      <w:r>
        <w:rPr>
          <w:rFonts w:hint="eastAsia"/>
        </w:rPr>
        <w:t>（五）地质灾害风险区村庄防灾避险方案图、表行政村内中等（含）以上地质灾害风险区应编制《地质灾害风险区防灾避险方案表》，相同编号风险区合并编制。</w:t>
      </w:r>
    </w:p>
    <w:p w14:paraId="060DEEC3">
      <w:pPr>
        <w:pStyle w:val="58"/>
        <w:ind w:firstLine="420"/>
      </w:pPr>
      <w:r>
        <w:rPr>
          <w:rFonts w:hint="eastAsia"/>
        </w:rPr>
        <w:t>1.防灾避险图：（1）比例尺应大于1:5000，A3或A4幅面，以清楚标明地形、水系、道路、居民点和风险区、应急避险场所、应急避险路线、方向等为原则。成图范围应以居民点为中心，包括风险区所在斜坡的分水岭、承灾体等范围。对具有多个地质灾害风险区的村庄，难以在一个图幅内表示的，可根据风险区分布，分图表示。（2）地质灾害风险区内承灾体、应急避险场所的位置和范围，应急避险路线等内容，按规定图式图例标注。</w:t>
      </w:r>
    </w:p>
    <w:p w14:paraId="5F8D6D07">
      <w:pPr>
        <w:pStyle w:val="58"/>
        <w:ind w:firstLine="420"/>
      </w:pPr>
      <w:r>
        <w:rPr>
          <w:rFonts w:hint="eastAsia"/>
        </w:rPr>
        <w:t>2．防灾避险表：包括地质灾害风险区编号、位置、风险程度分级，承灾体情况和防治措施建议（监测、避让、排导、生物工程等），监测方法、监测仪器或简易装置，监测内容、频率，应急避险条件、应急避险措施，避灾地点、撤离路线和距离，预警信号和方式，应急组织（成员）和相关责任人等（附表）。</w:t>
      </w:r>
    </w:p>
    <w:p w14:paraId="4ADC2509">
      <w:pPr>
        <w:pStyle w:val="79"/>
        <w:spacing w:before="156" w:after="156"/>
      </w:pPr>
      <w:r>
        <w:rPr>
          <w:rFonts w:ascii="Times New Roman"/>
          <w:szCs w:val="21"/>
        </w:rPr>
        <w:t>××镇××村地质灾害风险区风险管控方案图、表</w:t>
      </w:r>
    </w:p>
    <w:tbl>
      <w:tblPr>
        <w:tblStyle w:val="28"/>
        <w:tblW w:w="9071" w:type="dxa"/>
        <w:tblInd w:w="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0"/>
        <w:gridCol w:w="251"/>
        <w:gridCol w:w="853"/>
        <w:gridCol w:w="986"/>
        <w:gridCol w:w="715"/>
        <w:gridCol w:w="364"/>
        <w:gridCol w:w="909"/>
        <w:gridCol w:w="1283"/>
        <w:gridCol w:w="1794"/>
        <w:gridCol w:w="1456"/>
      </w:tblGrid>
      <w:tr w14:paraId="0C1F3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4" w:hRule="atLeast"/>
        </w:trPr>
        <w:tc>
          <w:tcPr>
            <w:tcW w:w="711" w:type="dxa"/>
            <w:gridSpan w:val="2"/>
            <w:shd w:val="clear" w:color="auto" w:fill="auto"/>
            <w:vAlign w:val="center"/>
          </w:tcPr>
          <w:p w14:paraId="2E1CBE7C">
            <w:pPr>
              <w:spacing w:line="220" w:lineRule="auto"/>
              <w:ind w:left="181"/>
              <w:rPr>
                <w:rFonts w:ascii="Times New Roman" w:hAnsi="Times New Roman"/>
                <w:sz w:val="18"/>
                <w:szCs w:val="18"/>
              </w:rPr>
            </w:pPr>
            <w:r>
              <w:rPr>
                <w:rFonts w:ascii="Times New Roman" w:hAnsi="Times New Roman"/>
                <w:sz w:val="18"/>
                <w:szCs w:val="18"/>
              </w:rPr>
              <w:t>编号</w:t>
            </w:r>
          </w:p>
        </w:tc>
        <w:tc>
          <w:tcPr>
            <w:tcW w:w="1839" w:type="dxa"/>
            <w:gridSpan w:val="2"/>
            <w:shd w:val="clear" w:color="auto" w:fill="auto"/>
            <w:vAlign w:val="center"/>
          </w:tcPr>
          <w:p w14:paraId="1FC455A5">
            <w:pPr>
              <w:rPr>
                <w:rFonts w:ascii="Times New Roman" w:hAnsi="Times New Roman"/>
              </w:rPr>
            </w:pPr>
          </w:p>
        </w:tc>
        <w:tc>
          <w:tcPr>
            <w:tcW w:w="1079" w:type="dxa"/>
            <w:gridSpan w:val="2"/>
            <w:shd w:val="clear" w:color="auto" w:fill="auto"/>
            <w:vAlign w:val="center"/>
          </w:tcPr>
          <w:p w14:paraId="4A165011">
            <w:pPr>
              <w:spacing w:line="222" w:lineRule="auto"/>
              <w:ind w:left="317"/>
              <w:rPr>
                <w:rFonts w:ascii="Times New Roman" w:hAnsi="Times New Roman"/>
                <w:sz w:val="18"/>
                <w:szCs w:val="18"/>
              </w:rPr>
            </w:pPr>
            <w:r>
              <w:rPr>
                <w:rFonts w:ascii="Times New Roman" w:hAnsi="Times New Roman"/>
                <w:sz w:val="18"/>
                <w:szCs w:val="18"/>
              </w:rPr>
              <w:t>位 置</w:t>
            </w:r>
          </w:p>
        </w:tc>
        <w:tc>
          <w:tcPr>
            <w:tcW w:w="5442" w:type="dxa"/>
            <w:gridSpan w:val="4"/>
            <w:shd w:val="clear" w:color="auto" w:fill="auto"/>
            <w:vAlign w:val="center"/>
          </w:tcPr>
          <w:p w14:paraId="550A6DB2">
            <w:pPr>
              <w:spacing w:line="220" w:lineRule="auto"/>
              <w:ind w:left="958"/>
              <w:rPr>
                <w:rFonts w:ascii="Times New Roman" w:hAnsi="Times New Roman"/>
                <w:sz w:val="18"/>
                <w:szCs w:val="18"/>
              </w:rPr>
            </w:pPr>
            <w:r>
              <w:rPr>
                <w:rFonts w:ascii="Times New Roman" w:hAnsi="Times New Roman" w:eastAsia="Times New Roman"/>
                <w:sz w:val="18"/>
                <w:szCs w:val="18"/>
              </w:rPr>
              <w:t>××</w:t>
            </w:r>
            <w:r>
              <w:rPr>
                <w:rFonts w:ascii="Times New Roman" w:hAnsi="Times New Roman"/>
                <w:sz w:val="18"/>
                <w:szCs w:val="18"/>
              </w:rPr>
              <w:t xml:space="preserve">县       </w:t>
            </w:r>
            <w:r>
              <w:rPr>
                <w:rFonts w:ascii="Times New Roman" w:hAnsi="Times New Roman" w:eastAsia="Times New Roman"/>
                <w:sz w:val="18"/>
                <w:szCs w:val="18"/>
              </w:rPr>
              <w:t>××</w:t>
            </w:r>
            <w:r>
              <w:rPr>
                <w:rFonts w:ascii="Times New Roman" w:hAnsi="Times New Roman"/>
                <w:sz w:val="18"/>
                <w:szCs w:val="18"/>
              </w:rPr>
              <w:t xml:space="preserve">镇      </w:t>
            </w:r>
            <w:r>
              <w:rPr>
                <w:rFonts w:ascii="Times New Roman" w:hAnsi="Times New Roman" w:eastAsia="Times New Roman"/>
                <w:sz w:val="18"/>
                <w:szCs w:val="18"/>
              </w:rPr>
              <w:t>××</w:t>
            </w:r>
            <w:r>
              <w:rPr>
                <w:rFonts w:ascii="Times New Roman" w:hAnsi="Times New Roman"/>
                <w:sz w:val="18"/>
                <w:szCs w:val="18"/>
              </w:rPr>
              <w:t>村</w:t>
            </w:r>
          </w:p>
        </w:tc>
      </w:tr>
      <w:tr w14:paraId="061CE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2" w:hRule="atLeast"/>
        </w:trPr>
        <w:tc>
          <w:tcPr>
            <w:tcW w:w="1564" w:type="dxa"/>
            <w:gridSpan w:val="3"/>
            <w:shd w:val="clear" w:color="auto" w:fill="auto"/>
            <w:vAlign w:val="center"/>
          </w:tcPr>
          <w:p w14:paraId="24A04027">
            <w:pPr>
              <w:spacing w:line="221" w:lineRule="auto"/>
              <w:ind w:left="427"/>
              <w:rPr>
                <w:rFonts w:ascii="Times New Roman" w:hAnsi="Times New Roman"/>
                <w:sz w:val="18"/>
                <w:szCs w:val="18"/>
              </w:rPr>
            </w:pPr>
            <w:r>
              <w:rPr>
                <w:rFonts w:ascii="Times New Roman" w:hAnsi="Times New Roman"/>
                <w:sz w:val="18"/>
                <w:szCs w:val="18"/>
              </w:rPr>
              <w:t>风险程度</w:t>
            </w:r>
          </w:p>
        </w:tc>
        <w:tc>
          <w:tcPr>
            <w:tcW w:w="7507" w:type="dxa"/>
            <w:gridSpan w:val="7"/>
            <w:shd w:val="clear" w:color="auto" w:fill="auto"/>
            <w:vAlign w:val="center"/>
          </w:tcPr>
          <w:p w14:paraId="32C9E32C">
            <w:pPr>
              <w:rPr>
                <w:rFonts w:ascii="Times New Roman" w:hAnsi="Times New Roman"/>
              </w:rPr>
            </w:pPr>
            <w:r>
              <w:rPr>
                <w:rFonts w:ascii="Times New Roman" w:hAnsi="Times New Roman"/>
                <w:sz w:val="18"/>
                <w:szCs w:val="18"/>
              </w:rPr>
              <w:t>说明致灾体、承灾体的范围、潜在灾种、致灾机理、风险程度等</w:t>
            </w:r>
          </w:p>
        </w:tc>
      </w:tr>
      <w:tr w14:paraId="00008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4" w:hRule="atLeast"/>
        </w:trPr>
        <w:tc>
          <w:tcPr>
            <w:tcW w:w="711" w:type="dxa"/>
            <w:gridSpan w:val="2"/>
            <w:vMerge w:val="restart"/>
            <w:shd w:val="clear" w:color="auto" w:fill="auto"/>
            <w:textDirection w:val="tbRlV"/>
            <w:vAlign w:val="center"/>
          </w:tcPr>
          <w:p w14:paraId="1D172418">
            <w:pPr>
              <w:spacing w:line="208" w:lineRule="auto"/>
              <w:jc w:val="center"/>
              <w:rPr>
                <w:rFonts w:ascii="Times New Roman" w:hAnsi="Times New Roman"/>
                <w:sz w:val="18"/>
                <w:szCs w:val="18"/>
              </w:rPr>
            </w:pPr>
            <w:r>
              <w:rPr>
                <w:rFonts w:ascii="Times New Roman" w:hAnsi="Times New Roman"/>
                <w:sz w:val="18"/>
                <w:szCs w:val="18"/>
              </w:rPr>
              <w:t>承灾体</w:t>
            </w:r>
          </w:p>
        </w:tc>
        <w:tc>
          <w:tcPr>
            <w:tcW w:w="853" w:type="dxa"/>
            <w:shd w:val="clear" w:color="auto" w:fill="auto"/>
            <w:vAlign w:val="center"/>
          </w:tcPr>
          <w:p w14:paraId="1BD07D7E">
            <w:pPr>
              <w:spacing w:line="220" w:lineRule="auto"/>
              <w:ind w:left="250"/>
              <w:rPr>
                <w:rFonts w:ascii="Times New Roman" w:hAnsi="Times New Roman"/>
                <w:sz w:val="18"/>
                <w:szCs w:val="18"/>
              </w:rPr>
            </w:pPr>
            <w:r>
              <w:rPr>
                <w:rFonts w:ascii="Times New Roman" w:hAnsi="Times New Roman"/>
                <w:sz w:val="18"/>
                <w:szCs w:val="18"/>
              </w:rPr>
              <w:t>编号</w:t>
            </w:r>
          </w:p>
        </w:tc>
        <w:tc>
          <w:tcPr>
            <w:tcW w:w="1701" w:type="dxa"/>
            <w:gridSpan w:val="2"/>
            <w:shd w:val="clear" w:color="auto" w:fill="auto"/>
            <w:vAlign w:val="center"/>
          </w:tcPr>
          <w:p w14:paraId="286B1D45">
            <w:pPr>
              <w:spacing w:line="220" w:lineRule="auto"/>
              <w:ind w:left="494"/>
              <w:rPr>
                <w:rFonts w:ascii="Times New Roman" w:hAnsi="Times New Roman"/>
                <w:sz w:val="18"/>
                <w:szCs w:val="18"/>
              </w:rPr>
            </w:pPr>
            <w:r>
              <w:rPr>
                <w:rFonts w:ascii="Times New Roman" w:hAnsi="Times New Roman"/>
                <w:sz w:val="18"/>
                <w:szCs w:val="18"/>
              </w:rPr>
              <w:t>户主姓名</w:t>
            </w:r>
          </w:p>
        </w:tc>
        <w:tc>
          <w:tcPr>
            <w:tcW w:w="1273" w:type="dxa"/>
            <w:gridSpan w:val="2"/>
            <w:shd w:val="clear" w:color="auto" w:fill="auto"/>
            <w:vAlign w:val="center"/>
          </w:tcPr>
          <w:p w14:paraId="304EB962">
            <w:pPr>
              <w:spacing w:line="220" w:lineRule="auto"/>
              <w:ind w:left="281"/>
              <w:rPr>
                <w:rFonts w:ascii="Times New Roman" w:hAnsi="Times New Roman"/>
                <w:sz w:val="18"/>
                <w:szCs w:val="18"/>
              </w:rPr>
            </w:pPr>
            <w:r>
              <w:rPr>
                <w:rFonts w:ascii="Times New Roman" w:hAnsi="Times New Roman"/>
                <w:sz w:val="18"/>
                <w:szCs w:val="18"/>
              </w:rPr>
              <w:t>户籍人口</w:t>
            </w:r>
          </w:p>
        </w:tc>
        <w:tc>
          <w:tcPr>
            <w:tcW w:w="1283" w:type="dxa"/>
            <w:shd w:val="clear" w:color="auto" w:fill="auto"/>
            <w:vAlign w:val="center"/>
          </w:tcPr>
          <w:p w14:paraId="572AABDB">
            <w:pPr>
              <w:spacing w:line="221" w:lineRule="auto"/>
              <w:ind w:left="291"/>
              <w:rPr>
                <w:rFonts w:ascii="Times New Roman" w:hAnsi="Times New Roman"/>
                <w:sz w:val="18"/>
                <w:szCs w:val="18"/>
              </w:rPr>
            </w:pPr>
            <w:r>
              <w:rPr>
                <w:rFonts w:ascii="Times New Roman" w:hAnsi="Times New Roman"/>
                <w:sz w:val="18"/>
                <w:szCs w:val="18"/>
              </w:rPr>
              <w:t>常住人口</w:t>
            </w:r>
          </w:p>
        </w:tc>
        <w:tc>
          <w:tcPr>
            <w:tcW w:w="1794" w:type="dxa"/>
            <w:shd w:val="clear" w:color="auto" w:fill="auto"/>
            <w:vAlign w:val="center"/>
          </w:tcPr>
          <w:p w14:paraId="1B0FE6CC">
            <w:pPr>
              <w:spacing w:line="221" w:lineRule="auto"/>
              <w:ind w:left="362"/>
              <w:rPr>
                <w:rFonts w:ascii="Times New Roman" w:hAnsi="Times New Roman"/>
                <w:sz w:val="18"/>
                <w:szCs w:val="18"/>
              </w:rPr>
            </w:pPr>
            <w:r>
              <w:rPr>
                <w:rFonts w:ascii="Times New Roman" w:hAnsi="Times New Roman"/>
                <w:sz w:val="18"/>
                <w:szCs w:val="18"/>
              </w:rPr>
              <w:t>房屋建造时间</w:t>
            </w:r>
          </w:p>
        </w:tc>
        <w:tc>
          <w:tcPr>
            <w:tcW w:w="1456" w:type="dxa"/>
            <w:shd w:val="clear" w:color="auto" w:fill="auto"/>
            <w:vAlign w:val="center"/>
          </w:tcPr>
          <w:p w14:paraId="4C15EBB6">
            <w:pPr>
              <w:spacing w:line="221" w:lineRule="auto"/>
              <w:ind w:left="372"/>
              <w:rPr>
                <w:rFonts w:ascii="Times New Roman" w:hAnsi="Times New Roman"/>
                <w:sz w:val="18"/>
                <w:szCs w:val="18"/>
              </w:rPr>
            </w:pPr>
            <w:r>
              <w:rPr>
                <w:rFonts w:ascii="Times New Roman" w:hAnsi="Times New Roman"/>
                <w:sz w:val="18"/>
                <w:szCs w:val="18"/>
              </w:rPr>
              <w:t>房屋结构</w:t>
            </w:r>
          </w:p>
        </w:tc>
      </w:tr>
      <w:tr w14:paraId="22F1D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2" w:hRule="atLeast"/>
        </w:trPr>
        <w:tc>
          <w:tcPr>
            <w:tcW w:w="711" w:type="dxa"/>
            <w:gridSpan w:val="2"/>
            <w:vMerge w:val="continue"/>
            <w:shd w:val="clear" w:color="auto" w:fill="auto"/>
            <w:textDirection w:val="tbRlV"/>
            <w:vAlign w:val="center"/>
          </w:tcPr>
          <w:p w14:paraId="2FA89C71">
            <w:pPr>
              <w:rPr>
                <w:rFonts w:ascii="Times New Roman" w:hAnsi="Times New Roman"/>
              </w:rPr>
            </w:pPr>
          </w:p>
        </w:tc>
        <w:tc>
          <w:tcPr>
            <w:tcW w:w="853" w:type="dxa"/>
            <w:shd w:val="clear" w:color="auto" w:fill="auto"/>
            <w:vAlign w:val="center"/>
          </w:tcPr>
          <w:p w14:paraId="72866ED2">
            <w:pPr>
              <w:rPr>
                <w:rFonts w:ascii="Times New Roman" w:hAnsi="Times New Roman"/>
              </w:rPr>
            </w:pPr>
          </w:p>
        </w:tc>
        <w:tc>
          <w:tcPr>
            <w:tcW w:w="1701" w:type="dxa"/>
            <w:gridSpan w:val="2"/>
            <w:shd w:val="clear" w:color="auto" w:fill="auto"/>
            <w:vAlign w:val="center"/>
          </w:tcPr>
          <w:p w14:paraId="2A5658C4">
            <w:pPr>
              <w:rPr>
                <w:rFonts w:ascii="Times New Roman" w:hAnsi="Times New Roman"/>
              </w:rPr>
            </w:pPr>
          </w:p>
        </w:tc>
        <w:tc>
          <w:tcPr>
            <w:tcW w:w="1273" w:type="dxa"/>
            <w:gridSpan w:val="2"/>
            <w:shd w:val="clear" w:color="auto" w:fill="auto"/>
            <w:vAlign w:val="center"/>
          </w:tcPr>
          <w:p w14:paraId="4D980F06">
            <w:pPr>
              <w:rPr>
                <w:rFonts w:ascii="Times New Roman" w:hAnsi="Times New Roman"/>
              </w:rPr>
            </w:pPr>
          </w:p>
        </w:tc>
        <w:tc>
          <w:tcPr>
            <w:tcW w:w="1283" w:type="dxa"/>
            <w:shd w:val="clear" w:color="auto" w:fill="auto"/>
            <w:vAlign w:val="center"/>
          </w:tcPr>
          <w:p w14:paraId="5D853F61">
            <w:pPr>
              <w:rPr>
                <w:rFonts w:ascii="Times New Roman" w:hAnsi="Times New Roman"/>
              </w:rPr>
            </w:pPr>
          </w:p>
        </w:tc>
        <w:tc>
          <w:tcPr>
            <w:tcW w:w="1794" w:type="dxa"/>
            <w:shd w:val="clear" w:color="auto" w:fill="auto"/>
            <w:vAlign w:val="center"/>
          </w:tcPr>
          <w:p w14:paraId="5BDD6326">
            <w:pPr>
              <w:rPr>
                <w:rFonts w:ascii="Times New Roman" w:hAnsi="Times New Roman"/>
              </w:rPr>
            </w:pPr>
          </w:p>
        </w:tc>
        <w:tc>
          <w:tcPr>
            <w:tcW w:w="1456" w:type="dxa"/>
            <w:shd w:val="clear" w:color="auto" w:fill="auto"/>
            <w:vAlign w:val="center"/>
          </w:tcPr>
          <w:p w14:paraId="57318CC2">
            <w:pPr>
              <w:rPr>
                <w:rFonts w:ascii="Times New Roman" w:hAnsi="Times New Roman"/>
              </w:rPr>
            </w:pPr>
          </w:p>
        </w:tc>
      </w:tr>
      <w:tr w14:paraId="659CE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2" w:hRule="atLeast"/>
        </w:trPr>
        <w:tc>
          <w:tcPr>
            <w:tcW w:w="711" w:type="dxa"/>
            <w:gridSpan w:val="2"/>
            <w:vMerge w:val="continue"/>
            <w:shd w:val="clear" w:color="auto" w:fill="auto"/>
            <w:textDirection w:val="tbRlV"/>
            <w:vAlign w:val="center"/>
          </w:tcPr>
          <w:p w14:paraId="3264C8AA">
            <w:pPr>
              <w:rPr>
                <w:rFonts w:ascii="Times New Roman" w:hAnsi="Times New Roman"/>
              </w:rPr>
            </w:pPr>
          </w:p>
        </w:tc>
        <w:tc>
          <w:tcPr>
            <w:tcW w:w="853" w:type="dxa"/>
            <w:shd w:val="clear" w:color="auto" w:fill="auto"/>
            <w:vAlign w:val="center"/>
          </w:tcPr>
          <w:p w14:paraId="5F72FC32">
            <w:pPr>
              <w:rPr>
                <w:rFonts w:ascii="Times New Roman" w:hAnsi="Times New Roman"/>
              </w:rPr>
            </w:pPr>
          </w:p>
        </w:tc>
        <w:tc>
          <w:tcPr>
            <w:tcW w:w="1701" w:type="dxa"/>
            <w:gridSpan w:val="2"/>
            <w:shd w:val="clear" w:color="auto" w:fill="auto"/>
            <w:vAlign w:val="center"/>
          </w:tcPr>
          <w:p w14:paraId="5941ED38">
            <w:pPr>
              <w:rPr>
                <w:rFonts w:ascii="Times New Roman" w:hAnsi="Times New Roman"/>
              </w:rPr>
            </w:pPr>
          </w:p>
        </w:tc>
        <w:tc>
          <w:tcPr>
            <w:tcW w:w="1273" w:type="dxa"/>
            <w:gridSpan w:val="2"/>
            <w:shd w:val="clear" w:color="auto" w:fill="auto"/>
            <w:vAlign w:val="center"/>
          </w:tcPr>
          <w:p w14:paraId="51365C21">
            <w:pPr>
              <w:rPr>
                <w:rFonts w:ascii="Times New Roman" w:hAnsi="Times New Roman"/>
              </w:rPr>
            </w:pPr>
          </w:p>
        </w:tc>
        <w:tc>
          <w:tcPr>
            <w:tcW w:w="1283" w:type="dxa"/>
            <w:shd w:val="clear" w:color="auto" w:fill="auto"/>
            <w:vAlign w:val="center"/>
          </w:tcPr>
          <w:p w14:paraId="2D792F36">
            <w:pPr>
              <w:rPr>
                <w:rFonts w:ascii="Times New Roman" w:hAnsi="Times New Roman"/>
              </w:rPr>
            </w:pPr>
          </w:p>
        </w:tc>
        <w:tc>
          <w:tcPr>
            <w:tcW w:w="1794" w:type="dxa"/>
            <w:shd w:val="clear" w:color="auto" w:fill="auto"/>
            <w:vAlign w:val="center"/>
          </w:tcPr>
          <w:p w14:paraId="1D150090">
            <w:pPr>
              <w:rPr>
                <w:rFonts w:ascii="Times New Roman" w:hAnsi="Times New Roman"/>
              </w:rPr>
            </w:pPr>
          </w:p>
        </w:tc>
        <w:tc>
          <w:tcPr>
            <w:tcW w:w="1456" w:type="dxa"/>
            <w:shd w:val="clear" w:color="auto" w:fill="auto"/>
            <w:vAlign w:val="center"/>
          </w:tcPr>
          <w:p w14:paraId="49C354E7">
            <w:pPr>
              <w:rPr>
                <w:rFonts w:ascii="Times New Roman" w:hAnsi="Times New Roman"/>
              </w:rPr>
            </w:pPr>
          </w:p>
        </w:tc>
      </w:tr>
      <w:tr w14:paraId="0F89F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2" w:hRule="atLeast"/>
        </w:trPr>
        <w:tc>
          <w:tcPr>
            <w:tcW w:w="711" w:type="dxa"/>
            <w:gridSpan w:val="2"/>
            <w:vMerge w:val="continue"/>
            <w:shd w:val="clear" w:color="auto" w:fill="auto"/>
            <w:textDirection w:val="tbRlV"/>
            <w:vAlign w:val="center"/>
          </w:tcPr>
          <w:p w14:paraId="50006F57">
            <w:pPr>
              <w:rPr>
                <w:rFonts w:ascii="Times New Roman" w:hAnsi="Times New Roman"/>
              </w:rPr>
            </w:pPr>
          </w:p>
        </w:tc>
        <w:tc>
          <w:tcPr>
            <w:tcW w:w="853" w:type="dxa"/>
            <w:shd w:val="clear" w:color="auto" w:fill="auto"/>
            <w:vAlign w:val="center"/>
          </w:tcPr>
          <w:p w14:paraId="3BBC4608">
            <w:pPr>
              <w:rPr>
                <w:rFonts w:ascii="Times New Roman" w:hAnsi="Times New Roman"/>
              </w:rPr>
            </w:pPr>
          </w:p>
        </w:tc>
        <w:tc>
          <w:tcPr>
            <w:tcW w:w="1701" w:type="dxa"/>
            <w:gridSpan w:val="2"/>
            <w:shd w:val="clear" w:color="auto" w:fill="auto"/>
            <w:vAlign w:val="center"/>
          </w:tcPr>
          <w:p w14:paraId="40D76A30">
            <w:pPr>
              <w:rPr>
                <w:rFonts w:ascii="Times New Roman" w:hAnsi="Times New Roman"/>
              </w:rPr>
            </w:pPr>
          </w:p>
        </w:tc>
        <w:tc>
          <w:tcPr>
            <w:tcW w:w="1273" w:type="dxa"/>
            <w:gridSpan w:val="2"/>
            <w:shd w:val="clear" w:color="auto" w:fill="auto"/>
            <w:vAlign w:val="center"/>
          </w:tcPr>
          <w:p w14:paraId="23117FA4">
            <w:pPr>
              <w:rPr>
                <w:rFonts w:ascii="Times New Roman" w:hAnsi="Times New Roman"/>
              </w:rPr>
            </w:pPr>
          </w:p>
        </w:tc>
        <w:tc>
          <w:tcPr>
            <w:tcW w:w="1283" w:type="dxa"/>
            <w:shd w:val="clear" w:color="auto" w:fill="auto"/>
            <w:vAlign w:val="center"/>
          </w:tcPr>
          <w:p w14:paraId="715A8600">
            <w:pPr>
              <w:rPr>
                <w:rFonts w:ascii="Times New Roman" w:hAnsi="Times New Roman"/>
              </w:rPr>
            </w:pPr>
          </w:p>
        </w:tc>
        <w:tc>
          <w:tcPr>
            <w:tcW w:w="1794" w:type="dxa"/>
            <w:shd w:val="clear" w:color="auto" w:fill="auto"/>
            <w:vAlign w:val="center"/>
          </w:tcPr>
          <w:p w14:paraId="38D39C85">
            <w:pPr>
              <w:rPr>
                <w:rFonts w:ascii="Times New Roman" w:hAnsi="Times New Roman"/>
              </w:rPr>
            </w:pPr>
          </w:p>
        </w:tc>
        <w:tc>
          <w:tcPr>
            <w:tcW w:w="1456" w:type="dxa"/>
            <w:shd w:val="clear" w:color="auto" w:fill="auto"/>
            <w:vAlign w:val="center"/>
          </w:tcPr>
          <w:p w14:paraId="29287129">
            <w:pPr>
              <w:rPr>
                <w:rFonts w:ascii="Times New Roman" w:hAnsi="Times New Roman"/>
              </w:rPr>
            </w:pPr>
          </w:p>
        </w:tc>
      </w:tr>
      <w:tr w14:paraId="50F59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6" w:hRule="atLeast"/>
        </w:trPr>
        <w:tc>
          <w:tcPr>
            <w:tcW w:w="1564" w:type="dxa"/>
            <w:gridSpan w:val="3"/>
            <w:shd w:val="clear" w:color="auto" w:fill="auto"/>
            <w:vAlign w:val="center"/>
          </w:tcPr>
          <w:p w14:paraId="3B30BCA7">
            <w:pPr>
              <w:spacing w:line="221" w:lineRule="auto"/>
              <w:ind w:left="258"/>
              <w:rPr>
                <w:rFonts w:ascii="Times New Roman" w:hAnsi="Times New Roman"/>
                <w:sz w:val="18"/>
                <w:szCs w:val="18"/>
              </w:rPr>
            </w:pPr>
            <w:r>
              <w:rPr>
                <w:rFonts w:ascii="Times New Roman" w:hAnsi="Times New Roman"/>
                <w:sz w:val="18"/>
                <w:szCs w:val="18"/>
              </w:rPr>
              <w:t>防治对策建议</w:t>
            </w:r>
          </w:p>
        </w:tc>
        <w:tc>
          <w:tcPr>
            <w:tcW w:w="7507" w:type="dxa"/>
            <w:gridSpan w:val="7"/>
            <w:shd w:val="clear" w:color="auto" w:fill="auto"/>
            <w:vAlign w:val="center"/>
          </w:tcPr>
          <w:p w14:paraId="57C23845">
            <w:pPr>
              <w:spacing w:line="220" w:lineRule="auto"/>
              <w:ind w:left="1863"/>
              <w:rPr>
                <w:rFonts w:ascii="Times New Roman" w:hAnsi="Times New Roman" w:eastAsia="Times New Roman"/>
                <w:sz w:val="18"/>
                <w:szCs w:val="18"/>
              </w:rPr>
            </w:pPr>
            <w:r>
              <w:rPr>
                <w:rFonts w:ascii="Times New Roman" w:hAnsi="Times New Roman"/>
                <w:sz w:val="18"/>
                <w:szCs w:val="18"/>
              </w:rPr>
              <w:t>避让搬迁，工程治理，专业监测，群测群防</w:t>
            </w:r>
            <w:r>
              <w:rPr>
                <w:rFonts w:ascii="Times New Roman" w:hAnsi="Times New Roman" w:eastAsia="Times New Roman"/>
                <w:sz w:val="18"/>
                <w:szCs w:val="18"/>
              </w:rPr>
              <w:t>……</w:t>
            </w:r>
          </w:p>
        </w:tc>
      </w:tr>
      <w:tr w14:paraId="5DE48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0" w:hRule="atLeast"/>
        </w:trPr>
        <w:tc>
          <w:tcPr>
            <w:tcW w:w="460" w:type="dxa"/>
            <w:vMerge w:val="restart"/>
            <w:shd w:val="clear" w:color="auto" w:fill="auto"/>
            <w:textDirection w:val="tbRlV"/>
            <w:vAlign w:val="center"/>
          </w:tcPr>
          <w:p w14:paraId="785269C6">
            <w:pPr>
              <w:spacing w:line="210" w:lineRule="auto"/>
              <w:ind w:left="113"/>
              <w:rPr>
                <w:rFonts w:ascii="Times New Roman" w:hAnsi="Times New Roman"/>
                <w:sz w:val="18"/>
                <w:szCs w:val="18"/>
              </w:rPr>
            </w:pPr>
            <w:r>
              <w:rPr>
                <w:rFonts w:ascii="Times New Roman" w:hAnsi="Times New Roman"/>
                <w:sz w:val="18"/>
                <w:szCs w:val="18"/>
              </w:rPr>
              <w:t>监测预警与避险方案</w:t>
            </w:r>
          </w:p>
        </w:tc>
        <w:tc>
          <w:tcPr>
            <w:tcW w:w="1104" w:type="dxa"/>
            <w:gridSpan w:val="2"/>
            <w:shd w:val="clear" w:color="auto" w:fill="auto"/>
            <w:vAlign w:val="center"/>
          </w:tcPr>
          <w:p w14:paraId="0CB0D9FA">
            <w:pPr>
              <w:spacing w:line="239" w:lineRule="auto"/>
              <w:rPr>
                <w:rFonts w:ascii="Times New Roman" w:hAnsi="Times New Roman"/>
                <w:sz w:val="18"/>
                <w:szCs w:val="18"/>
              </w:rPr>
            </w:pPr>
            <w:r>
              <w:rPr>
                <w:rFonts w:ascii="Times New Roman" w:hAnsi="Times New Roman"/>
                <w:sz w:val="18"/>
                <w:szCs w:val="18"/>
              </w:rPr>
              <w:t>监测方法</w:t>
            </w:r>
          </w:p>
        </w:tc>
        <w:tc>
          <w:tcPr>
            <w:tcW w:w="7507" w:type="dxa"/>
            <w:gridSpan w:val="7"/>
            <w:shd w:val="clear" w:color="auto" w:fill="auto"/>
            <w:vAlign w:val="center"/>
          </w:tcPr>
          <w:p w14:paraId="77A707D6">
            <w:pPr>
              <w:spacing w:line="232" w:lineRule="auto"/>
              <w:ind w:left="111" w:right="104" w:hanging="1"/>
              <w:rPr>
                <w:rFonts w:ascii="Times New Roman" w:hAnsi="Times New Roman"/>
                <w:sz w:val="18"/>
                <w:szCs w:val="18"/>
              </w:rPr>
            </w:pPr>
            <w:r>
              <w:rPr>
                <w:rFonts w:ascii="Times New Roman" w:hAnsi="Times New Roman"/>
                <w:sz w:val="18"/>
                <w:szCs w:val="18"/>
              </w:rPr>
              <w:t>选择合适实用的监测方法，包括仪器（人工、自动、简易）、目测、巡查</w:t>
            </w:r>
            <w:r>
              <w:rPr>
                <w:rFonts w:ascii="Times New Roman" w:hAnsi="Times New Roman" w:eastAsia="Times New Roman"/>
                <w:sz w:val="18"/>
                <w:szCs w:val="18"/>
              </w:rPr>
              <w:t>……</w:t>
            </w:r>
            <w:r>
              <w:rPr>
                <w:rFonts w:ascii="Times New Roman" w:hAnsi="Times New Roman"/>
                <w:sz w:val="18"/>
                <w:szCs w:val="18"/>
              </w:rPr>
              <w:t>等</w:t>
            </w:r>
            <w:r>
              <w:rPr>
                <w:rFonts w:ascii="Times New Roman" w:hAnsi="Times New Roman" w:eastAsia="Times New Roman"/>
                <w:sz w:val="18"/>
                <w:szCs w:val="18"/>
              </w:rPr>
              <w:t>,</w:t>
            </w:r>
            <w:r>
              <w:rPr>
                <w:rFonts w:ascii="Times New Roman" w:hAnsi="Times New Roman"/>
                <w:sz w:val="18"/>
                <w:szCs w:val="18"/>
              </w:rPr>
              <w:t>要说明操作方 法。</w:t>
            </w:r>
          </w:p>
        </w:tc>
      </w:tr>
      <w:tr w14:paraId="55A3E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8" w:hRule="atLeast"/>
        </w:trPr>
        <w:tc>
          <w:tcPr>
            <w:tcW w:w="460" w:type="dxa"/>
            <w:vMerge w:val="continue"/>
            <w:shd w:val="clear" w:color="auto" w:fill="auto"/>
            <w:textDirection w:val="tbRlV"/>
            <w:vAlign w:val="center"/>
          </w:tcPr>
          <w:p w14:paraId="237D4315">
            <w:pPr>
              <w:rPr>
                <w:rFonts w:ascii="Times New Roman" w:hAnsi="Times New Roman"/>
              </w:rPr>
            </w:pPr>
          </w:p>
        </w:tc>
        <w:tc>
          <w:tcPr>
            <w:tcW w:w="1104" w:type="dxa"/>
            <w:gridSpan w:val="2"/>
            <w:shd w:val="clear" w:color="auto" w:fill="auto"/>
            <w:vAlign w:val="center"/>
          </w:tcPr>
          <w:p w14:paraId="17834F34">
            <w:pPr>
              <w:spacing w:line="239" w:lineRule="auto"/>
              <w:rPr>
                <w:rFonts w:ascii="Times New Roman" w:hAnsi="Times New Roman"/>
                <w:sz w:val="18"/>
                <w:szCs w:val="18"/>
              </w:rPr>
            </w:pPr>
            <w:r>
              <w:rPr>
                <w:rFonts w:ascii="Times New Roman" w:hAnsi="Times New Roman"/>
                <w:sz w:val="18"/>
                <w:szCs w:val="18"/>
              </w:rPr>
              <w:t>监测内容</w:t>
            </w:r>
          </w:p>
        </w:tc>
        <w:tc>
          <w:tcPr>
            <w:tcW w:w="7507" w:type="dxa"/>
            <w:gridSpan w:val="7"/>
            <w:shd w:val="clear" w:color="auto" w:fill="auto"/>
            <w:vAlign w:val="center"/>
          </w:tcPr>
          <w:p w14:paraId="238237D0">
            <w:pPr>
              <w:spacing w:line="220" w:lineRule="auto"/>
              <w:ind w:left="124"/>
              <w:rPr>
                <w:rFonts w:ascii="Times New Roman" w:hAnsi="Times New Roman"/>
                <w:sz w:val="18"/>
                <w:szCs w:val="18"/>
              </w:rPr>
            </w:pPr>
            <w:r>
              <w:rPr>
                <w:rFonts w:ascii="Times New Roman" w:hAnsi="Times New Roman"/>
                <w:sz w:val="18"/>
                <w:szCs w:val="18"/>
              </w:rPr>
              <w:t>降雨量、沟谷流量、变形迹象等</w:t>
            </w:r>
          </w:p>
        </w:tc>
      </w:tr>
      <w:tr w14:paraId="5364B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 w:hRule="atLeast"/>
        </w:trPr>
        <w:tc>
          <w:tcPr>
            <w:tcW w:w="460" w:type="dxa"/>
            <w:vMerge w:val="continue"/>
            <w:shd w:val="clear" w:color="auto" w:fill="auto"/>
            <w:textDirection w:val="tbRlV"/>
            <w:vAlign w:val="center"/>
          </w:tcPr>
          <w:p w14:paraId="0C494847">
            <w:pPr>
              <w:rPr>
                <w:rFonts w:ascii="Times New Roman" w:hAnsi="Times New Roman"/>
              </w:rPr>
            </w:pPr>
          </w:p>
        </w:tc>
        <w:tc>
          <w:tcPr>
            <w:tcW w:w="1104" w:type="dxa"/>
            <w:gridSpan w:val="2"/>
            <w:shd w:val="clear" w:color="auto" w:fill="auto"/>
            <w:vAlign w:val="center"/>
          </w:tcPr>
          <w:p w14:paraId="726693DF">
            <w:pPr>
              <w:spacing w:line="239" w:lineRule="auto"/>
              <w:rPr>
                <w:rFonts w:ascii="Times New Roman" w:hAnsi="Times New Roman"/>
                <w:sz w:val="18"/>
                <w:szCs w:val="18"/>
              </w:rPr>
            </w:pPr>
            <w:r>
              <w:rPr>
                <w:rFonts w:ascii="Times New Roman" w:hAnsi="Times New Roman"/>
                <w:sz w:val="18"/>
                <w:szCs w:val="18"/>
              </w:rPr>
              <w:t>避灾地点</w:t>
            </w:r>
          </w:p>
        </w:tc>
        <w:tc>
          <w:tcPr>
            <w:tcW w:w="2974" w:type="dxa"/>
            <w:gridSpan w:val="4"/>
            <w:shd w:val="clear" w:color="auto" w:fill="auto"/>
            <w:vAlign w:val="center"/>
          </w:tcPr>
          <w:p w14:paraId="6443C82C">
            <w:pPr>
              <w:rPr>
                <w:rFonts w:ascii="Times New Roman" w:hAnsi="Times New Roman"/>
              </w:rPr>
            </w:pPr>
          </w:p>
        </w:tc>
        <w:tc>
          <w:tcPr>
            <w:tcW w:w="1283" w:type="dxa"/>
            <w:shd w:val="clear" w:color="auto" w:fill="auto"/>
            <w:vAlign w:val="center"/>
          </w:tcPr>
          <w:p w14:paraId="17632B0F">
            <w:pPr>
              <w:spacing w:line="221" w:lineRule="auto"/>
              <w:ind w:left="288"/>
              <w:rPr>
                <w:rFonts w:ascii="Times New Roman" w:hAnsi="Times New Roman"/>
                <w:sz w:val="18"/>
                <w:szCs w:val="18"/>
              </w:rPr>
            </w:pPr>
            <w:r>
              <w:rPr>
                <w:rFonts w:ascii="Times New Roman" w:hAnsi="Times New Roman"/>
                <w:sz w:val="18"/>
                <w:szCs w:val="18"/>
              </w:rPr>
              <w:t>预警方式</w:t>
            </w:r>
          </w:p>
        </w:tc>
        <w:tc>
          <w:tcPr>
            <w:tcW w:w="3250" w:type="dxa"/>
            <w:gridSpan w:val="2"/>
            <w:shd w:val="clear" w:color="auto" w:fill="auto"/>
            <w:vAlign w:val="center"/>
          </w:tcPr>
          <w:p w14:paraId="5277A794">
            <w:pPr>
              <w:spacing w:line="237" w:lineRule="exact"/>
              <w:ind w:left="982"/>
              <w:rPr>
                <w:rFonts w:ascii="Times New Roman" w:hAnsi="Times New Roman" w:eastAsia="Times New Roman"/>
                <w:sz w:val="18"/>
                <w:szCs w:val="18"/>
              </w:rPr>
            </w:pPr>
            <w:r>
              <w:rPr>
                <w:rFonts w:ascii="Times New Roman" w:hAnsi="Times New Roman"/>
                <w:position w:val="1"/>
                <w:sz w:val="18"/>
                <w:szCs w:val="18"/>
              </w:rPr>
              <w:t>鸣啰</w:t>
            </w:r>
            <w:r>
              <w:rPr>
                <w:rFonts w:ascii="Times New Roman" w:hAnsi="Times New Roman" w:eastAsia="Times New Roman"/>
                <w:position w:val="1"/>
                <w:sz w:val="18"/>
                <w:szCs w:val="18"/>
              </w:rPr>
              <w:t>/</w:t>
            </w:r>
            <w:r>
              <w:rPr>
                <w:rFonts w:ascii="Times New Roman" w:hAnsi="Times New Roman"/>
                <w:position w:val="1"/>
                <w:sz w:val="18"/>
                <w:szCs w:val="18"/>
              </w:rPr>
              <w:t xml:space="preserve">喊话， </w:t>
            </w:r>
            <w:r>
              <w:rPr>
                <w:rFonts w:ascii="Times New Roman" w:hAnsi="Times New Roman" w:eastAsia="Times New Roman"/>
                <w:position w:val="1"/>
                <w:sz w:val="18"/>
                <w:szCs w:val="18"/>
              </w:rPr>
              <w:t>ⅆⅆ</w:t>
            </w:r>
          </w:p>
        </w:tc>
      </w:tr>
      <w:tr w14:paraId="1CBFA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4" w:hRule="atLeast"/>
        </w:trPr>
        <w:tc>
          <w:tcPr>
            <w:tcW w:w="460" w:type="dxa"/>
            <w:vMerge w:val="continue"/>
            <w:shd w:val="clear" w:color="auto" w:fill="auto"/>
            <w:textDirection w:val="tbRlV"/>
            <w:vAlign w:val="center"/>
          </w:tcPr>
          <w:p w14:paraId="5AC2A35B">
            <w:pPr>
              <w:rPr>
                <w:rFonts w:ascii="Times New Roman" w:hAnsi="Times New Roman"/>
              </w:rPr>
            </w:pPr>
          </w:p>
        </w:tc>
        <w:tc>
          <w:tcPr>
            <w:tcW w:w="1104" w:type="dxa"/>
            <w:gridSpan w:val="2"/>
            <w:shd w:val="clear" w:color="auto" w:fill="auto"/>
            <w:vAlign w:val="center"/>
          </w:tcPr>
          <w:p w14:paraId="7801C7D3">
            <w:pPr>
              <w:rPr>
                <w:rFonts w:ascii="Times New Roman" w:hAnsi="Times New Roman"/>
                <w:sz w:val="18"/>
                <w:szCs w:val="18"/>
              </w:rPr>
            </w:pPr>
            <w:r>
              <w:rPr>
                <w:rFonts w:ascii="Times New Roman" w:hAnsi="Times New Roman"/>
                <w:sz w:val="18"/>
                <w:szCs w:val="18"/>
              </w:rPr>
              <w:t>预警状态</w:t>
            </w:r>
          </w:p>
        </w:tc>
        <w:tc>
          <w:tcPr>
            <w:tcW w:w="7507" w:type="dxa"/>
            <w:gridSpan w:val="7"/>
            <w:shd w:val="clear" w:color="auto" w:fill="auto"/>
            <w:vAlign w:val="center"/>
          </w:tcPr>
          <w:p w14:paraId="775BEDD3">
            <w:pPr>
              <w:spacing w:line="230" w:lineRule="auto"/>
              <w:ind w:right="112"/>
              <w:rPr>
                <w:rFonts w:ascii="Times New Roman" w:hAnsi="Times New Roman"/>
                <w:sz w:val="18"/>
                <w:szCs w:val="18"/>
              </w:rPr>
            </w:pPr>
            <w:r>
              <w:rPr>
                <w:rFonts w:ascii="Times New Roman" w:hAnsi="Times New Roman"/>
                <w:sz w:val="18"/>
                <w:szCs w:val="18"/>
              </w:rPr>
              <w:t>说明出现什么状态时，应怎么做。确定监视、警戒、撤离等应急措施的启动条件，包括预 警预报、降雨强度及其他异常情况。</w:t>
            </w:r>
          </w:p>
        </w:tc>
      </w:tr>
      <w:tr w14:paraId="6B883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60" w:type="dxa"/>
            <w:vMerge w:val="continue"/>
            <w:shd w:val="clear" w:color="auto" w:fill="auto"/>
            <w:textDirection w:val="tbRlV"/>
            <w:vAlign w:val="center"/>
          </w:tcPr>
          <w:p w14:paraId="7E9EC51A">
            <w:pPr>
              <w:rPr>
                <w:rFonts w:ascii="Times New Roman" w:hAnsi="Times New Roman"/>
              </w:rPr>
            </w:pPr>
          </w:p>
        </w:tc>
        <w:tc>
          <w:tcPr>
            <w:tcW w:w="1104" w:type="dxa"/>
            <w:gridSpan w:val="2"/>
            <w:shd w:val="clear" w:color="auto" w:fill="auto"/>
            <w:vAlign w:val="center"/>
          </w:tcPr>
          <w:p w14:paraId="2BFC5F7F">
            <w:pPr>
              <w:spacing w:line="239" w:lineRule="auto"/>
              <w:rPr>
                <w:rFonts w:ascii="Times New Roman" w:hAnsi="Times New Roman"/>
                <w:sz w:val="18"/>
                <w:szCs w:val="18"/>
              </w:rPr>
            </w:pPr>
            <w:r>
              <w:rPr>
                <w:rFonts w:ascii="Times New Roman" w:hAnsi="Times New Roman"/>
                <w:sz w:val="18"/>
                <w:szCs w:val="18"/>
              </w:rPr>
              <w:t>应急组织</w:t>
            </w:r>
          </w:p>
        </w:tc>
        <w:tc>
          <w:tcPr>
            <w:tcW w:w="7507" w:type="dxa"/>
            <w:gridSpan w:val="7"/>
            <w:shd w:val="clear" w:color="auto" w:fill="auto"/>
            <w:vAlign w:val="center"/>
          </w:tcPr>
          <w:p w14:paraId="0BE85817">
            <w:pPr>
              <w:spacing w:line="220" w:lineRule="auto"/>
              <w:ind w:left="112"/>
              <w:rPr>
                <w:rFonts w:ascii="Times New Roman" w:hAnsi="Times New Roman"/>
                <w:sz w:val="18"/>
                <w:szCs w:val="18"/>
              </w:rPr>
            </w:pPr>
            <w:r>
              <w:rPr>
                <w:rFonts w:ascii="Times New Roman" w:hAnsi="Times New Roman"/>
                <w:sz w:val="18"/>
                <w:szCs w:val="18"/>
              </w:rPr>
              <w:t>说明应急组织人员组成对象，分工与职责</w:t>
            </w:r>
          </w:p>
        </w:tc>
      </w:tr>
      <w:tr w14:paraId="2A452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 w:hRule="atLeast"/>
        </w:trPr>
        <w:tc>
          <w:tcPr>
            <w:tcW w:w="460" w:type="dxa"/>
            <w:vMerge w:val="continue"/>
            <w:shd w:val="clear" w:color="auto" w:fill="auto"/>
            <w:textDirection w:val="tbRlV"/>
            <w:vAlign w:val="center"/>
          </w:tcPr>
          <w:p w14:paraId="630F41F8">
            <w:pPr>
              <w:rPr>
                <w:rFonts w:ascii="Times New Roman" w:hAnsi="Times New Roman"/>
              </w:rPr>
            </w:pPr>
          </w:p>
        </w:tc>
        <w:tc>
          <w:tcPr>
            <w:tcW w:w="1104" w:type="dxa"/>
            <w:gridSpan w:val="2"/>
            <w:shd w:val="clear" w:color="auto" w:fill="auto"/>
            <w:vAlign w:val="center"/>
          </w:tcPr>
          <w:p w14:paraId="5B62A1AE">
            <w:pPr>
              <w:spacing w:line="239" w:lineRule="auto"/>
              <w:rPr>
                <w:rFonts w:ascii="Times New Roman" w:hAnsi="Times New Roman"/>
                <w:sz w:val="18"/>
                <w:szCs w:val="18"/>
              </w:rPr>
            </w:pPr>
            <w:r>
              <w:rPr>
                <w:rFonts w:ascii="Times New Roman" w:hAnsi="Times New Roman"/>
                <w:sz w:val="18"/>
                <w:szCs w:val="18"/>
              </w:rPr>
              <w:t>应急负责人</w:t>
            </w:r>
          </w:p>
        </w:tc>
        <w:tc>
          <w:tcPr>
            <w:tcW w:w="2974" w:type="dxa"/>
            <w:gridSpan w:val="4"/>
            <w:shd w:val="clear" w:color="auto" w:fill="auto"/>
            <w:vAlign w:val="center"/>
          </w:tcPr>
          <w:p w14:paraId="71E18133">
            <w:pPr>
              <w:rPr>
                <w:rFonts w:ascii="Times New Roman" w:hAnsi="Times New Roman"/>
              </w:rPr>
            </w:pPr>
          </w:p>
        </w:tc>
        <w:tc>
          <w:tcPr>
            <w:tcW w:w="1283" w:type="dxa"/>
            <w:shd w:val="clear" w:color="auto" w:fill="auto"/>
            <w:vAlign w:val="center"/>
          </w:tcPr>
          <w:p w14:paraId="73267E6E">
            <w:pPr>
              <w:spacing w:line="222" w:lineRule="auto"/>
              <w:ind w:left="287"/>
              <w:rPr>
                <w:rFonts w:ascii="Times New Roman" w:hAnsi="Times New Roman"/>
                <w:sz w:val="18"/>
                <w:szCs w:val="18"/>
              </w:rPr>
            </w:pPr>
            <w:r>
              <w:rPr>
                <w:rFonts w:ascii="Times New Roman" w:hAnsi="Times New Roman"/>
                <w:sz w:val="18"/>
                <w:szCs w:val="18"/>
              </w:rPr>
              <w:t>联系方式</w:t>
            </w:r>
          </w:p>
        </w:tc>
        <w:tc>
          <w:tcPr>
            <w:tcW w:w="3250" w:type="dxa"/>
            <w:gridSpan w:val="2"/>
            <w:shd w:val="clear" w:color="auto" w:fill="auto"/>
            <w:vAlign w:val="center"/>
          </w:tcPr>
          <w:p w14:paraId="26CD3A5F">
            <w:pPr>
              <w:rPr>
                <w:rFonts w:ascii="Times New Roman" w:hAnsi="Times New Roman"/>
              </w:rPr>
            </w:pPr>
          </w:p>
        </w:tc>
      </w:tr>
      <w:tr w14:paraId="7FBB0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9071" w:type="dxa"/>
            <w:gridSpan w:val="10"/>
            <w:shd w:val="clear" w:color="auto" w:fill="auto"/>
            <w:vAlign w:val="center"/>
          </w:tcPr>
          <w:p w14:paraId="39945D18">
            <w:pPr>
              <w:spacing w:before="31" w:line="221" w:lineRule="auto"/>
              <w:ind w:left="126"/>
              <w:rPr>
                <w:rFonts w:ascii="Times New Roman" w:hAnsi="Times New Roman"/>
                <w:sz w:val="18"/>
                <w:szCs w:val="18"/>
              </w:rPr>
            </w:pPr>
            <w:r>
              <w:rPr>
                <w:rFonts w:ascii="Times New Roman" w:hAnsi="Times New Roman"/>
                <w:sz w:val="18"/>
                <w:szCs w:val="18"/>
              </w:rPr>
              <w:t>风险区平面示意图：</w:t>
            </w:r>
          </w:p>
          <w:p w14:paraId="0BC42B3A">
            <w:pPr>
              <w:spacing w:line="222" w:lineRule="auto"/>
              <w:ind w:left="287" w:firstLine="360" w:firstLineChars="200"/>
              <w:rPr>
                <w:rFonts w:ascii="Times New Roman" w:hAnsi="Times New Roman"/>
              </w:rPr>
            </w:pPr>
            <w:r>
              <w:rPr>
                <w:rFonts w:ascii="Times New Roman" w:hAnsi="Times New Roman"/>
                <w:sz w:val="18"/>
                <w:szCs w:val="18"/>
              </w:rPr>
              <w:t xml:space="preserve">以 </w:t>
            </w:r>
            <w:r>
              <w:rPr>
                <w:rFonts w:ascii="Times New Roman" w:hAnsi="Times New Roman" w:eastAsia="Times New Roman"/>
                <w:sz w:val="18"/>
                <w:szCs w:val="18"/>
              </w:rPr>
              <w:t>1:2000</w:t>
            </w:r>
            <w:r>
              <w:rPr>
                <w:rFonts w:ascii="Times New Roman" w:hAnsi="Times New Roman"/>
                <w:sz w:val="18"/>
                <w:szCs w:val="18"/>
              </w:rPr>
              <w:t>地形图为底图， 主要标明风险区及周边区域地层、构造、人类工程活动等相关信息，风险区位置、区内致灾体、承灾体分布等内容。</w:t>
            </w:r>
          </w:p>
        </w:tc>
      </w:tr>
      <w:tr w14:paraId="5B6AD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9" w:hRule="atLeast"/>
        </w:trPr>
        <w:tc>
          <w:tcPr>
            <w:tcW w:w="9071" w:type="dxa"/>
            <w:gridSpan w:val="10"/>
            <w:shd w:val="clear" w:color="auto" w:fill="auto"/>
            <w:vAlign w:val="center"/>
          </w:tcPr>
          <w:p w14:paraId="459AB6FD">
            <w:pPr>
              <w:spacing w:before="31" w:line="221" w:lineRule="auto"/>
              <w:ind w:left="126"/>
              <w:rPr>
                <w:rFonts w:ascii="Times New Roman" w:hAnsi="Times New Roman"/>
                <w:sz w:val="18"/>
                <w:szCs w:val="18"/>
              </w:rPr>
            </w:pPr>
            <w:r>
              <w:rPr>
                <w:rFonts w:ascii="Times New Roman" w:hAnsi="Times New Roman"/>
                <w:sz w:val="18"/>
                <w:szCs w:val="18"/>
              </w:rPr>
              <w:t>风险区剖面示意图：</w:t>
            </w:r>
          </w:p>
        </w:tc>
      </w:tr>
      <w:tr w14:paraId="5B4CB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89" w:hRule="atLeast"/>
        </w:trPr>
        <w:tc>
          <w:tcPr>
            <w:tcW w:w="9071" w:type="dxa"/>
            <w:gridSpan w:val="10"/>
            <w:shd w:val="clear" w:color="auto" w:fill="auto"/>
            <w:vAlign w:val="center"/>
          </w:tcPr>
          <w:p w14:paraId="2BEAF0E0">
            <w:pPr>
              <w:spacing w:before="31" w:line="221" w:lineRule="auto"/>
              <w:ind w:left="126"/>
              <w:rPr>
                <w:rFonts w:ascii="Times New Roman" w:hAnsi="Times New Roman"/>
                <w:sz w:val="18"/>
                <w:szCs w:val="18"/>
              </w:rPr>
            </w:pPr>
            <w:r>
              <w:rPr>
                <w:rFonts w:ascii="Times New Roman" w:hAnsi="Times New Roman"/>
                <w:sz w:val="18"/>
                <w:szCs w:val="18"/>
              </w:rPr>
              <w:t>防灾避险示意图：</w:t>
            </w:r>
          </w:p>
          <w:p w14:paraId="6F278CAD">
            <w:pPr>
              <w:spacing w:line="222" w:lineRule="auto"/>
              <w:ind w:left="287" w:firstLine="360" w:firstLineChars="200"/>
              <w:rPr>
                <w:rFonts w:ascii="Times New Roman" w:hAnsi="Times New Roman"/>
              </w:rPr>
            </w:pPr>
            <w:r>
              <w:rPr>
                <w:rFonts w:ascii="Times New Roman" w:hAnsi="Times New Roman"/>
                <w:sz w:val="18"/>
                <w:szCs w:val="18"/>
              </w:rPr>
              <w:t xml:space="preserve">以 </w:t>
            </w:r>
            <w:r>
              <w:rPr>
                <w:rFonts w:ascii="Times New Roman" w:hAnsi="Times New Roman" w:eastAsia="Times New Roman"/>
                <w:sz w:val="18"/>
                <w:szCs w:val="18"/>
              </w:rPr>
              <w:t xml:space="preserve">1:2000 </w:t>
            </w:r>
            <w:r>
              <w:rPr>
                <w:rFonts w:ascii="Times New Roman" w:hAnsi="Times New Roman"/>
                <w:sz w:val="18"/>
                <w:szCs w:val="18"/>
              </w:rPr>
              <w:t>彩色航片为底图， 主要标明风险区位置及区内承灾体分布、应急避险场所位置、应急避险路线等内容。</w:t>
            </w:r>
          </w:p>
        </w:tc>
      </w:tr>
    </w:tbl>
    <w:p w14:paraId="36ED2DC3">
      <w:pPr>
        <w:pStyle w:val="58"/>
        <w:ind w:firstLine="420"/>
      </w:pPr>
    </w:p>
    <w:p w14:paraId="27061C83">
      <w:pPr>
        <w:pStyle w:val="58"/>
        <w:ind w:firstLine="420"/>
        <w:sectPr>
          <w:pgSz w:w="11906" w:h="16838"/>
          <w:pgMar w:top="1928" w:right="1134" w:bottom="1134" w:left="1134" w:header="1418" w:footer="1134" w:gutter="284"/>
          <w:cols w:space="425" w:num="1"/>
          <w:formProt w:val="0"/>
          <w:docGrid w:type="lines" w:linePitch="312" w:charSpace="0"/>
        </w:sectPr>
      </w:pPr>
    </w:p>
    <w:p w14:paraId="39333A4C">
      <w:pPr>
        <w:pStyle w:val="200"/>
        <w:rPr>
          <w:vanish w:val="0"/>
        </w:rPr>
      </w:pPr>
    </w:p>
    <w:p w14:paraId="254D721D">
      <w:pPr>
        <w:pStyle w:val="201"/>
        <w:rPr>
          <w:vanish w:val="0"/>
        </w:rPr>
      </w:pPr>
    </w:p>
    <w:p w14:paraId="6E421780">
      <w:pPr>
        <w:pStyle w:val="78"/>
        <w:spacing w:after="156"/>
      </w:pPr>
      <w:r>
        <w:br w:type="textWrapping"/>
      </w:r>
      <w:bookmarkStart w:id="380" w:name="_Toc176194193"/>
      <w:bookmarkStart w:id="381" w:name="_Toc178172397"/>
      <w:r>
        <w:rPr>
          <w:rFonts w:hint="eastAsia"/>
        </w:rPr>
        <w:t>（资料性）</w:t>
      </w:r>
      <w:r>
        <w:br w:type="textWrapping"/>
      </w:r>
      <w:r>
        <w:rPr>
          <w:rFonts w:hint="eastAsia"/>
        </w:rPr>
        <w:t>设计书编写提纲</w:t>
      </w:r>
      <w:bookmarkEnd w:id="380"/>
      <w:bookmarkEnd w:id="381"/>
    </w:p>
    <w:p w14:paraId="63D47DD6">
      <w:pPr>
        <w:spacing w:line="240" w:lineRule="auto"/>
        <w:jc w:val="center"/>
        <w:rPr>
          <w:rFonts w:ascii="Times New Roman" w:hAnsi="Times New Roman"/>
          <w:b/>
        </w:rPr>
      </w:pPr>
      <w:r>
        <w:rPr>
          <w:rFonts w:ascii="Times New Roman" w:hAnsi="Times New Roman"/>
          <w:b/>
        </w:rPr>
        <w:t xml:space="preserve">第一章 </w:t>
      </w:r>
      <w:r>
        <w:rPr>
          <w:rFonts w:hint="eastAsia" w:ascii="Times New Roman" w:hAnsi="Times New Roman"/>
          <w:b/>
        </w:rPr>
        <w:t xml:space="preserve"> </w:t>
      </w:r>
      <w:r>
        <w:rPr>
          <w:rFonts w:ascii="Times New Roman" w:hAnsi="Times New Roman"/>
          <w:b/>
        </w:rPr>
        <w:t>前言</w:t>
      </w:r>
    </w:p>
    <w:p w14:paraId="69EC6883">
      <w:pPr>
        <w:pStyle w:val="58"/>
        <w:ind w:firstLine="420"/>
      </w:pPr>
      <w:r>
        <w:t>第一节  项目概况</w:t>
      </w:r>
    </w:p>
    <w:p w14:paraId="2D724767">
      <w:pPr>
        <w:pStyle w:val="58"/>
        <w:ind w:firstLine="420"/>
      </w:pPr>
      <w:r>
        <w:t>【注：应简述调查重要意义和作用、项目来源、任务书编号或合同情况、工作起止时间，协助单位及分工。】</w:t>
      </w:r>
    </w:p>
    <w:p w14:paraId="1429FDC8">
      <w:pPr>
        <w:pStyle w:val="58"/>
        <w:ind w:firstLine="420"/>
      </w:pPr>
      <w:r>
        <w:t>第二节  目的任务</w:t>
      </w:r>
    </w:p>
    <w:p w14:paraId="29F9A073">
      <w:pPr>
        <w:pStyle w:val="58"/>
        <w:ind w:firstLine="420"/>
      </w:pPr>
      <w:r>
        <w:t>【注：应简述项目的总体目标及任务分解。】</w:t>
      </w:r>
    </w:p>
    <w:p w14:paraId="688D177E">
      <w:pPr>
        <w:pStyle w:val="58"/>
        <w:ind w:firstLine="420"/>
      </w:pPr>
      <w:r>
        <w:t>第三节  工作区范围、自然地理和社会经济概况</w:t>
      </w:r>
    </w:p>
    <w:p w14:paraId="07CB3410">
      <w:pPr>
        <w:pStyle w:val="58"/>
        <w:ind w:firstLine="420"/>
      </w:pPr>
      <w:r>
        <w:t>【注：应简述调查区地理位置、坐标范围、行政区划、自然地理、气象水文、交通及经济发展状况、 GDP及人员密集程度等社会经济概况，附调查区交通位置图和工作范围图。】</w:t>
      </w:r>
    </w:p>
    <w:p w14:paraId="199903E2">
      <w:pPr>
        <w:spacing w:line="240" w:lineRule="auto"/>
        <w:jc w:val="center"/>
        <w:rPr>
          <w:rFonts w:ascii="Times New Roman" w:hAnsi="Times New Roman"/>
          <w:b/>
        </w:rPr>
      </w:pPr>
      <w:r>
        <w:rPr>
          <w:rFonts w:ascii="Times New Roman" w:hAnsi="Times New Roman"/>
          <w:b/>
        </w:rPr>
        <w:t xml:space="preserve">第二章 </w:t>
      </w:r>
      <w:r>
        <w:rPr>
          <w:rFonts w:hint="eastAsia" w:ascii="Times New Roman" w:hAnsi="Times New Roman"/>
          <w:b/>
        </w:rPr>
        <w:t xml:space="preserve"> </w:t>
      </w:r>
      <w:r>
        <w:rPr>
          <w:rFonts w:ascii="Times New Roman" w:hAnsi="Times New Roman"/>
          <w:b/>
        </w:rPr>
        <w:t>以往工作程度及存在问题</w:t>
      </w:r>
    </w:p>
    <w:p w14:paraId="1E36C62D">
      <w:pPr>
        <w:pStyle w:val="58"/>
        <w:ind w:firstLine="420"/>
      </w:pPr>
      <w:r>
        <w:t>第一节  区域地质</w:t>
      </w:r>
    </w:p>
    <w:p w14:paraId="365D745B">
      <w:pPr>
        <w:pStyle w:val="58"/>
        <w:ind w:firstLine="420"/>
      </w:pPr>
      <w:r>
        <w:t>【注：应简述各种比例尺的区域地质调查工作情况。】</w:t>
      </w:r>
    </w:p>
    <w:p w14:paraId="3A458FE4">
      <w:pPr>
        <w:pStyle w:val="58"/>
        <w:ind w:firstLine="420"/>
      </w:pPr>
      <w:r>
        <w:t>第二节  水工环地质</w:t>
      </w:r>
    </w:p>
    <w:p w14:paraId="19ADE696">
      <w:pPr>
        <w:pStyle w:val="58"/>
        <w:ind w:firstLine="420"/>
      </w:pPr>
      <w:r>
        <w:t>【注：应简述以往水工环地质工作，总结以往的水工环地质调查成果，甄别已有资料的可利用程度， 附工作程度图。】</w:t>
      </w:r>
    </w:p>
    <w:p w14:paraId="3F73CA48">
      <w:pPr>
        <w:pStyle w:val="58"/>
        <w:ind w:firstLine="420"/>
      </w:pPr>
      <w:r>
        <w:t>第三节  地质灾害</w:t>
      </w:r>
    </w:p>
    <w:p w14:paraId="5823F210">
      <w:pPr>
        <w:pStyle w:val="58"/>
        <w:ind w:firstLine="420"/>
      </w:pPr>
      <w:r>
        <w:t xml:space="preserve">【注：对地质灾害调查、勘查、评估、监测网络建设、防治等进行重点评述，甄别已有资料的可利用程度，梳理需要的数据和有用的信息。】 </w:t>
      </w:r>
    </w:p>
    <w:p w14:paraId="760A3BB5">
      <w:pPr>
        <w:pStyle w:val="58"/>
        <w:ind w:firstLine="420"/>
      </w:pPr>
      <w:r>
        <w:t>第四节  存在主要问题</w:t>
      </w:r>
    </w:p>
    <w:p w14:paraId="01A17E2D">
      <w:pPr>
        <w:pStyle w:val="58"/>
        <w:ind w:firstLine="420"/>
      </w:pPr>
      <w:r>
        <w:t>【注：针对社会经济发展对工程地质调查工作的需求，分析和梳理调查区内存在的主要问题，明确 本次调查评价拟解决的主要问题。】</w:t>
      </w:r>
    </w:p>
    <w:p w14:paraId="2B723BB9">
      <w:pPr>
        <w:spacing w:line="240" w:lineRule="auto"/>
        <w:jc w:val="center"/>
        <w:rPr>
          <w:rFonts w:ascii="Times New Roman" w:hAnsi="Times New Roman"/>
          <w:b/>
        </w:rPr>
      </w:pPr>
      <w:r>
        <w:rPr>
          <w:rFonts w:ascii="Times New Roman" w:hAnsi="Times New Roman"/>
          <w:b/>
        </w:rPr>
        <w:t xml:space="preserve">第三章 </w:t>
      </w:r>
      <w:r>
        <w:rPr>
          <w:rFonts w:hint="eastAsia" w:ascii="Times New Roman" w:hAnsi="Times New Roman"/>
          <w:b/>
        </w:rPr>
        <w:t xml:space="preserve"> </w:t>
      </w:r>
      <w:r>
        <w:rPr>
          <w:rFonts w:ascii="Times New Roman" w:hAnsi="Times New Roman"/>
          <w:b/>
        </w:rPr>
        <w:t>地质环境背景</w:t>
      </w:r>
    </w:p>
    <w:p w14:paraId="5869E499">
      <w:pPr>
        <w:pStyle w:val="58"/>
        <w:ind w:firstLine="420"/>
      </w:pPr>
      <w:r>
        <w:t>第一节  区域地质环境背景</w:t>
      </w:r>
    </w:p>
    <w:p w14:paraId="7173B65B">
      <w:pPr>
        <w:pStyle w:val="58"/>
        <w:ind w:firstLine="420"/>
      </w:pPr>
      <w:r>
        <w:t>【注：包括气象水文条件、地形地貌、地层岩性、地质构造与区域稳定性、水文地质和工程地质等内容。】</w:t>
      </w:r>
    </w:p>
    <w:p w14:paraId="7F27B173">
      <w:pPr>
        <w:pStyle w:val="58"/>
        <w:ind w:firstLine="420"/>
      </w:pPr>
      <w:r>
        <w:t xml:space="preserve">第二节  人类工程经活动及对地质环境的影响 </w:t>
      </w:r>
    </w:p>
    <w:p w14:paraId="30CF744D">
      <w:pPr>
        <w:pStyle w:val="58"/>
        <w:ind w:firstLine="420"/>
      </w:pPr>
      <w:r>
        <w:t>第三节  地质灾害现状</w:t>
      </w:r>
    </w:p>
    <w:p w14:paraId="21AD7AA0">
      <w:pPr>
        <w:pStyle w:val="58"/>
        <w:ind w:firstLine="420"/>
      </w:pPr>
      <w:r>
        <w:t>【注：叙述调查区及周边地质灾害基本特征及规律，包括灾害种类、数量、规模、分布规律、威胁 区范围、造成的危害与损失、防治现状等，附地质灾害统计表】</w:t>
      </w:r>
    </w:p>
    <w:p w14:paraId="17461F00">
      <w:pPr>
        <w:pStyle w:val="58"/>
        <w:ind w:firstLine="420"/>
      </w:pPr>
      <w:r>
        <w:t>第四节  遥感解译与隐患识别初步成果</w:t>
      </w:r>
    </w:p>
    <w:p w14:paraId="781FF26D">
      <w:pPr>
        <w:spacing w:line="240" w:lineRule="auto"/>
        <w:jc w:val="center"/>
        <w:rPr>
          <w:rFonts w:ascii="Times New Roman" w:hAnsi="Times New Roman"/>
          <w:b/>
        </w:rPr>
      </w:pPr>
      <w:r>
        <w:rPr>
          <w:rFonts w:ascii="Times New Roman" w:hAnsi="Times New Roman"/>
          <w:b/>
        </w:rPr>
        <w:t>第四章 工作部署</w:t>
      </w:r>
    </w:p>
    <w:p w14:paraId="7CA43EF9">
      <w:pPr>
        <w:pStyle w:val="58"/>
        <w:ind w:firstLine="420"/>
      </w:pPr>
      <w:r>
        <w:t>第一节  工作部署原则</w:t>
      </w:r>
    </w:p>
    <w:p w14:paraId="4410CE91">
      <w:pPr>
        <w:pStyle w:val="58"/>
        <w:ind w:firstLine="420"/>
      </w:pPr>
      <w:r>
        <w:t xml:space="preserve">【注：以人为本、突出重点、技术创新。】 </w:t>
      </w:r>
    </w:p>
    <w:p w14:paraId="53D1711C">
      <w:pPr>
        <w:pStyle w:val="58"/>
        <w:ind w:firstLine="420"/>
      </w:pPr>
      <w:r>
        <w:t>第二节  技术路线</w:t>
      </w:r>
    </w:p>
    <w:p w14:paraId="24ED103F">
      <w:pPr>
        <w:pStyle w:val="58"/>
        <w:ind w:firstLine="420"/>
      </w:pPr>
      <w:r>
        <w:t>【注：阐明实现总体目标任务或解决主要问题的技术路线，附技术路线图。】</w:t>
      </w:r>
    </w:p>
    <w:p w14:paraId="359508E5">
      <w:pPr>
        <w:pStyle w:val="58"/>
        <w:ind w:firstLine="420"/>
      </w:pPr>
      <w:r>
        <w:t>第三节  总体工作部署</w:t>
      </w:r>
    </w:p>
    <w:p w14:paraId="31830206">
      <w:pPr>
        <w:pStyle w:val="58"/>
        <w:ind w:firstLine="420"/>
      </w:pPr>
      <w:r>
        <w:t>【注：根据任务要求部署落实各项任务的工作内容和实物工作量，重点阐述重点调查区和一般调查区部署的位置及范围，以及相应的调查内容、调查手段、投入的主要实物工作量等。说明围绕本次调查拟解决的主要问题布设的针对性工作。】</w:t>
      </w:r>
    </w:p>
    <w:p w14:paraId="09F168F0">
      <w:pPr>
        <w:pStyle w:val="58"/>
        <w:ind w:firstLine="420"/>
      </w:pPr>
      <w:r>
        <w:t>第四节  阶段工作部署</w:t>
      </w:r>
    </w:p>
    <w:p w14:paraId="0D5380FA">
      <w:pPr>
        <w:pStyle w:val="58"/>
        <w:ind w:firstLine="420"/>
      </w:pPr>
      <w:r>
        <w:t xml:space="preserve">【注：分阶段的主要工作内容、工作量和工作进度安排等。】 </w:t>
      </w:r>
    </w:p>
    <w:p w14:paraId="5787BCBA">
      <w:pPr>
        <w:spacing w:line="240" w:lineRule="auto"/>
        <w:jc w:val="center"/>
        <w:rPr>
          <w:rFonts w:ascii="Times New Roman" w:hAnsi="Times New Roman"/>
          <w:b/>
        </w:rPr>
      </w:pPr>
      <w:r>
        <w:rPr>
          <w:rFonts w:ascii="Times New Roman" w:hAnsi="Times New Roman"/>
          <w:b/>
        </w:rPr>
        <w:t>第五章 工作方法与技术要求</w:t>
      </w:r>
    </w:p>
    <w:p w14:paraId="0D601778">
      <w:pPr>
        <w:pStyle w:val="58"/>
        <w:ind w:firstLine="420"/>
      </w:pPr>
      <w:r>
        <w:t>【注：根据调查区工程地质条件和拟解决的问题选择主要采用的技术方法，并简述主要技术方法流程和关键环节精度要求，包括遥感解译、野外调查、钻探、物探与山地工程、综合研究、图件编制、数据库建设等内容。】</w:t>
      </w:r>
    </w:p>
    <w:p w14:paraId="3A711FA6">
      <w:pPr>
        <w:pStyle w:val="58"/>
        <w:ind w:firstLine="420"/>
      </w:pPr>
      <w:r>
        <w:t>第一节  资料收集与分析</w:t>
      </w:r>
    </w:p>
    <w:p w14:paraId="20D800F8">
      <w:pPr>
        <w:pStyle w:val="58"/>
        <w:ind w:firstLine="420"/>
      </w:pPr>
      <w:r>
        <w:t>第二节  遥感解译</w:t>
      </w:r>
    </w:p>
    <w:p w14:paraId="19A9DF85">
      <w:pPr>
        <w:pStyle w:val="58"/>
        <w:ind w:firstLine="420"/>
      </w:pPr>
      <w:r>
        <w:t>第三节  野外调查</w:t>
      </w:r>
    </w:p>
    <w:p w14:paraId="24F0B85A">
      <w:pPr>
        <w:pStyle w:val="58"/>
        <w:ind w:firstLine="420"/>
      </w:pPr>
      <w:r>
        <w:t>第四节  物探、钻探及山地工程</w:t>
      </w:r>
    </w:p>
    <w:p w14:paraId="41DD0FAA">
      <w:pPr>
        <w:pStyle w:val="58"/>
        <w:ind w:firstLine="420"/>
      </w:pPr>
      <w:r>
        <w:t>第五节  综合研究</w:t>
      </w:r>
    </w:p>
    <w:p w14:paraId="58AEC4B9">
      <w:pPr>
        <w:pStyle w:val="58"/>
        <w:ind w:firstLine="420"/>
      </w:pPr>
      <w:r>
        <w:t>【注：包括易发性、危险性、风险评价，突发性地质灾害降雨阈值研究、监测预警及防灾对策研究等。】</w:t>
      </w:r>
    </w:p>
    <w:p w14:paraId="43BDD07D">
      <w:pPr>
        <w:pStyle w:val="58"/>
        <w:ind w:firstLine="420"/>
      </w:pPr>
      <w:r>
        <w:t>第六节  图件编制</w:t>
      </w:r>
    </w:p>
    <w:p w14:paraId="63F418BC">
      <w:pPr>
        <w:pStyle w:val="58"/>
        <w:ind w:firstLine="420"/>
      </w:pPr>
      <w:r>
        <w:t>第七节  数据库建设</w:t>
      </w:r>
    </w:p>
    <w:p w14:paraId="2665CF85">
      <w:pPr>
        <w:spacing w:line="240" w:lineRule="auto"/>
        <w:jc w:val="center"/>
        <w:rPr>
          <w:rFonts w:ascii="Times New Roman" w:hAnsi="Times New Roman"/>
          <w:b/>
        </w:rPr>
      </w:pPr>
      <w:r>
        <w:rPr>
          <w:rFonts w:ascii="Times New Roman" w:hAnsi="Times New Roman"/>
          <w:b/>
        </w:rPr>
        <w:t>第六章 实物工作量</w:t>
      </w:r>
    </w:p>
    <w:p w14:paraId="2AD6F862">
      <w:pPr>
        <w:pStyle w:val="58"/>
        <w:ind w:firstLine="420"/>
      </w:pPr>
      <w:r>
        <w:t>【注：应附实物工作量一览表】</w:t>
      </w:r>
    </w:p>
    <w:p w14:paraId="1403A3FE">
      <w:pPr>
        <w:spacing w:line="240" w:lineRule="auto"/>
        <w:jc w:val="center"/>
        <w:rPr>
          <w:rFonts w:ascii="Times New Roman" w:hAnsi="Times New Roman"/>
          <w:b/>
        </w:rPr>
      </w:pPr>
      <w:r>
        <w:rPr>
          <w:rFonts w:ascii="Times New Roman" w:hAnsi="Times New Roman"/>
          <w:b/>
        </w:rPr>
        <w:t>第七章 预期成果</w:t>
      </w:r>
    </w:p>
    <w:p w14:paraId="6AB6F953">
      <w:pPr>
        <w:pStyle w:val="58"/>
        <w:ind w:firstLine="420"/>
      </w:pPr>
      <w:r>
        <w:t>【注：简述调查评价工作预期解决的主要问题和取得的社会、经济、环境效益（绩效）。应提交的报告、图件、数据库及其他附件。预期提交 成果时间。】</w:t>
      </w:r>
    </w:p>
    <w:p w14:paraId="0887CBE2">
      <w:pPr>
        <w:spacing w:line="240" w:lineRule="auto"/>
        <w:jc w:val="center"/>
        <w:rPr>
          <w:rFonts w:ascii="Times New Roman" w:hAnsi="Times New Roman"/>
          <w:b/>
        </w:rPr>
      </w:pPr>
      <w:r>
        <w:rPr>
          <w:rFonts w:ascii="Times New Roman" w:hAnsi="Times New Roman"/>
          <w:b/>
        </w:rPr>
        <w:t>第八章 组织管理</w:t>
      </w:r>
    </w:p>
    <w:p w14:paraId="5CA551B3">
      <w:pPr>
        <w:pStyle w:val="58"/>
        <w:ind w:firstLine="420"/>
      </w:pPr>
      <w:r>
        <w:t>【注：说明组织管理，列表说明项目分组人员组成， 应包括姓名、年龄、技术职务、从事专业、分工及参加项目时间等内容。】</w:t>
      </w:r>
    </w:p>
    <w:p w14:paraId="4D3C2D7F">
      <w:pPr>
        <w:spacing w:line="240" w:lineRule="auto"/>
        <w:ind w:firstLine="420"/>
        <w:jc w:val="center"/>
        <w:rPr>
          <w:rFonts w:ascii="Times New Roman"/>
          <w:b/>
        </w:rPr>
      </w:pPr>
      <w:r>
        <w:rPr>
          <w:rFonts w:hint="eastAsia" w:ascii="Times New Roman" w:hAnsi="Times New Roman"/>
          <w:b/>
        </w:rPr>
        <w:t>第九章</w:t>
      </w:r>
      <w:r>
        <w:rPr>
          <w:rFonts w:ascii="Times New Roman" w:hAnsi="Times New Roman"/>
          <w:b/>
        </w:rPr>
        <w:t xml:space="preserve">  </w:t>
      </w:r>
      <w:r>
        <w:rPr>
          <w:rFonts w:hint="eastAsia" w:ascii="Times New Roman" w:hAnsi="Times New Roman"/>
          <w:b/>
        </w:rPr>
        <w:t>经费预算</w:t>
      </w:r>
    </w:p>
    <w:p w14:paraId="18AA4971">
      <w:pPr>
        <w:pStyle w:val="58"/>
        <w:ind w:firstLine="420"/>
      </w:pPr>
      <w:r>
        <w:t xml:space="preserve">【注：应按照地质调查项目设计预算编制办法及最新的有关要求编写，明确编制方法和编制结果。】 </w:t>
      </w:r>
    </w:p>
    <w:p w14:paraId="57D02188">
      <w:pPr>
        <w:spacing w:line="240" w:lineRule="auto"/>
        <w:jc w:val="center"/>
        <w:rPr>
          <w:rFonts w:ascii="Times New Roman" w:hAnsi="Times New Roman"/>
          <w:b/>
        </w:rPr>
      </w:pPr>
      <w:r>
        <w:rPr>
          <w:rFonts w:ascii="Times New Roman" w:hAnsi="Times New Roman"/>
          <w:b/>
        </w:rPr>
        <w:t>第十章 质量保障与安全措施</w:t>
      </w:r>
    </w:p>
    <w:p w14:paraId="66A3420F">
      <w:pPr>
        <w:pStyle w:val="58"/>
        <w:ind w:firstLine="420"/>
      </w:pPr>
      <w:r>
        <w:t>【注：包括质量管理措施、技术保证措施、绿色勘查、安全及劳动保护措施。】</w:t>
      </w:r>
    </w:p>
    <w:p w14:paraId="202A299E">
      <w:pPr>
        <w:pStyle w:val="58"/>
        <w:ind w:firstLine="420"/>
      </w:pPr>
      <w:r>
        <w:t>设计书应提交的附（插）图包括：调查区交通位置图，研究程度图，地质灾害分布易发区图、工作部署图等。</w:t>
      </w:r>
    </w:p>
    <w:p w14:paraId="67082F13">
      <w:pPr>
        <w:pStyle w:val="58"/>
        <w:ind w:firstLine="420"/>
      </w:pPr>
    </w:p>
    <w:p w14:paraId="5984E722">
      <w:pPr>
        <w:pStyle w:val="58"/>
        <w:ind w:firstLine="420"/>
      </w:pPr>
    </w:p>
    <w:p w14:paraId="65A735D3">
      <w:pPr>
        <w:pStyle w:val="58"/>
        <w:ind w:firstLine="420"/>
        <w:sectPr>
          <w:pgSz w:w="11906" w:h="16838"/>
          <w:pgMar w:top="1928" w:right="1134" w:bottom="1134" w:left="1134" w:header="1418" w:footer="1134" w:gutter="284"/>
          <w:cols w:space="425" w:num="1"/>
          <w:formProt w:val="0"/>
          <w:docGrid w:type="lines" w:linePitch="312" w:charSpace="0"/>
        </w:sectPr>
      </w:pPr>
    </w:p>
    <w:p w14:paraId="706210E0">
      <w:pPr>
        <w:pStyle w:val="200"/>
        <w:rPr>
          <w:vanish w:val="0"/>
        </w:rPr>
      </w:pPr>
    </w:p>
    <w:p w14:paraId="54FC26B5">
      <w:pPr>
        <w:pStyle w:val="201"/>
        <w:rPr>
          <w:vanish w:val="0"/>
        </w:rPr>
      </w:pPr>
    </w:p>
    <w:p w14:paraId="003C110C">
      <w:pPr>
        <w:pStyle w:val="78"/>
        <w:spacing w:after="156"/>
      </w:pPr>
      <w:r>
        <w:br w:type="textWrapping"/>
      </w:r>
      <w:bookmarkStart w:id="382" w:name="_Toc178172398"/>
      <w:bookmarkStart w:id="383" w:name="_Toc176194194"/>
      <w:r>
        <w:rPr>
          <w:rFonts w:hint="eastAsia"/>
        </w:rPr>
        <w:t>（资料性）</w:t>
      </w:r>
      <w:r>
        <w:br w:type="textWrapping"/>
      </w:r>
      <w:r>
        <w:rPr>
          <w:rFonts w:hint="eastAsia"/>
        </w:rPr>
        <w:t>野外工作总结报告编写提纲</w:t>
      </w:r>
      <w:bookmarkEnd w:id="382"/>
      <w:bookmarkEnd w:id="383"/>
    </w:p>
    <w:p w14:paraId="20D2C06D">
      <w:pPr>
        <w:pStyle w:val="58"/>
        <w:ind w:firstLine="420"/>
      </w:pPr>
    </w:p>
    <w:p w14:paraId="504C44F5">
      <w:pPr>
        <w:spacing w:line="240" w:lineRule="auto"/>
        <w:jc w:val="center"/>
        <w:rPr>
          <w:b/>
          <w:bCs/>
        </w:rPr>
      </w:pPr>
      <w:r>
        <w:rPr>
          <w:b/>
          <w:bCs/>
        </w:rPr>
        <w:t>第一章 工作任务完成概况</w:t>
      </w:r>
    </w:p>
    <w:p w14:paraId="18FE516F">
      <w:pPr>
        <w:pStyle w:val="58"/>
        <w:ind w:firstLine="420"/>
      </w:pPr>
      <w:r>
        <w:t>第一节 项目由来和目标任务</w:t>
      </w:r>
    </w:p>
    <w:p w14:paraId="6F86CE69">
      <w:pPr>
        <w:pStyle w:val="58"/>
        <w:ind w:firstLine="420"/>
      </w:pPr>
      <w:r>
        <w:t>【注：简述项目来源、任务书编号或合同情况、工作起止时间，协助单位及分工。】</w:t>
      </w:r>
    </w:p>
    <w:p w14:paraId="21A9901A">
      <w:pPr>
        <w:pStyle w:val="58"/>
        <w:ind w:firstLine="420"/>
      </w:pPr>
      <w:r>
        <w:t>第二节 工作区背景</w:t>
      </w:r>
    </w:p>
    <w:p w14:paraId="0109F5F6">
      <w:pPr>
        <w:pStyle w:val="58"/>
        <w:ind w:firstLine="420"/>
      </w:pPr>
      <w:r>
        <w:t>【注：简述调查区自然地理和社会经济概况，附调查区交通位置图和工作范围图。】</w:t>
      </w:r>
    </w:p>
    <w:p w14:paraId="762DA0E7">
      <w:pPr>
        <w:pStyle w:val="58"/>
        <w:ind w:firstLine="420"/>
      </w:pPr>
      <w:r>
        <w:t>第三节 目标任务完成情况</w:t>
      </w:r>
    </w:p>
    <w:p w14:paraId="4F82A326">
      <w:pPr>
        <w:pStyle w:val="58"/>
        <w:ind w:firstLine="420"/>
      </w:pPr>
      <w:r>
        <w:t>【注：简述项目野外工作总体目标及任务完成情况， 设计实物工作量完成情况，工作量</w:t>
      </w:r>
    </w:p>
    <w:p w14:paraId="61B9B71A">
      <w:pPr>
        <w:pStyle w:val="58"/>
        <w:ind w:firstLine="420"/>
      </w:pPr>
      <w:r>
        <w:t>调整情况说明。】</w:t>
      </w:r>
    </w:p>
    <w:p w14:paraId="2CB25988">
      <w:pPr>
        <w:spacing w:line="240" w:lineRule="auto"/>
        <w:jc w:val="center"/>
        <w:rPr>
          <w:b/>
          <w:bCs/>
        </w:rPr>
      </w:pPr>
      <w:r>
        <w:rPr>
          <w:b/>
          <w:bCs/>
        </w:rPr>
        <w:t>第二章 工作部署、技术路线执行情况</w:t>
      </w:r>
    </w:p>
    <w:p w14:paraId="51217E43">
      <w:pPr>
        <w:pStyle w:val="58"/>
        <w:ind w:firstLine="420"/>
      </w:pPr>
      <w:r>
        <w:t>第一节 工作部署</w:t>
      </w:r>
    </w:p>
    <w:p w14:paraId="0CF5B19A">
      <w:pPr>
        <w:pStyle w:val="58"/>
        <w:ind w:firstLine="420"/>
      </w:pPr>
      <w:r>
        <w:t>【注：介绍野外调查工作阶段部署、组织安排、技术路线，附技术路线图。】</w:t>
      </w:r>
    </w:p>
    <w:p w14:paraId="48AB0B94">
      <w:pPr>
        <w:pStyle w:val="58"/>
        <w:ind w:firstLine="420"/>
      </w:pPr>
      <w:r>
        <w:t>第二节 执行情况</w:t>
      </w:r>
    </w:p>
    <w:p w14:paraId="64E8142A">
      <w:pPr>
        <w:pStyle w:val="58"/>
        <w:ind w:firstLine="420"/>
      </w:pPr>
      <w:r>
        <w:t>【注：按照野外调查的工作内容，介绍执行情况，重点说明实物工作量完成情况。】</w:t>
      </w:r>
    </w:p>
    <w:p w14:paraId="365A8293">
      <w:pPr>
        <w:spacing w:line="240" w:lineRule="auto"/>
        <w:jc w:val="center"/>
        <w:rPr>
          <w:b/>
          <w:bCs/>
        </w:rPr>
      </w:pPr>
      <w:r>
        <w:rPr>
          <w:b/>
          <w:bCs/>
        </w:rPr>
        <w:t>第三章 工作方法和质量评述</w:t>
      </w:r>
    </w:p>
    <w:p w14:paraId="495009C8">
      <w:pPr>
        <w:pStyle w:val="58"/>
        <w:ind w:firstLine="420"/>
      </w:pPr>
      <w:r>
        <w:t>第一节 工作方法</w:t>
      </w:r>
    </w:p>
    <w:p w14:paraId="1E942955">
      <w:pPr>
        <w:pStyle w:val="58"/>
        <w:ind w:firstLine="420"/>
      </w:pPr>
      <w:r>
        <w:t>【注：分别阐述资料收集整理、遥感解译、野外调查、物探、工程地质钻探及山地工程</w:t>
      </w:r>
    </w:p>
    <w:p w14:paraId="35025608">
      <w:pPr>
        <w:pStyle w:val="58"/>
        <w:ind w:firstLine="420"/>
      </w:pPr>
      <w:r>
        <w:t>等不同调查内容采取的工作方法。】</w:t>
      </w:r>
    </w:p>
    <w:p w14:paraId="35AB3491">
      <w:pPr>
        <w:pStyle w:val="58"/>
        <w:ind w:firstLine="420"/>
      </w:pPr>
      <w:r>
        <w:t>第二节 质量评述</w:t>
      </w:r>
    </w:p>
    <w:p w14:paraId="040C7958">
      <w:pPr>
        <w:pStyle w:val="58"/>
        <w:ind w:firstLine="420"/>
      </w:pPr>
      <w:r>
        <w:t>【注： 对照设计书和技术要求，从任务完成情况、质量管理体系运作、技术方法合理性、</w:t>
      </w:r>
    </w:p>
    <w:p w14:paraId="6D97D033">
      <w:pPr>
        <w:pStyle w:val="58"/>
        <w:ind w:firstLine="420"/>
      </w:pPr>
      <w:r>
        <w:t>资料齐全程度等方面进行质量评述。】</w:t>
      </w:r>
    </w:p>
    <w:p w14:paraId="741B2D4F">
      <w:pPr>
        <w:spacing w:line="240" w:lineRule="auto"/>
        <w:jc w:val="center"/>
        <w:rPr>
          <w:b/>
          <w:bCs/>
        </w:rPr>
      </w:pPr>
      <w:r>
        <w:rPr>
          <w:b/>
          <w:bCs/>
        </w:rPr>
        <w:t>第四章 主要进展和初步成果</w:t>
      </w:r>
    </w:p>
    <w:p w14:paraId="51A62868">
      <w:pPr>
        <w:pStyle w:val="58"/>
        <w:ind w:firstLine="420"/>
      </w:pPr>
      <w:r>
        <w:t>第一节 以往地质灾害分布发育特征</w:t>
      </w:r>
    </w:p>
    <w:p w14:paraId="6E690F98">
      <w:pPr>
        <w:pStyle w:val="58"/>
        <w:ind w:firstLine="420"/>
      </w:pPr>
      <w:r>
        <w:t>【注：介绍地质灾害发生情况和分布发育特征。】</w:t>
      </w:r>
    </w:p>
    <w:p w14:paraId="4F88370C">
      <w:pPr>
        <w:pStyle w:val="58"/>
        <w:ind w:firstLine="420"/>
      </w:pPr>
      <w:r>
        <w:t>第二节 地质灾害隐患和斜坡稳定性初步分析</w:t>
      </w:r>
    </w:p>
    <w:p w14:paraId="37B4B8E0">
      <w:pPr>
        <w:pStyle w:val="58"/>
        <w:ind w:firstLine="420"/>
      </w:pPr>
      <w:r>
        <w:t>【注：介绍初步查明的地质灾害隐患、斜坡稳定性分类分级情况及其分布发育特征。】</w:t>
      </w:r>
    </w:p>
    <w:p w14:paraId="2B254A55">
      <w:pPr>
        <w:pStyle w:val="58"/>
        <w:ind w:firstLine="420"/>
      </w:pPr>
      <w:r>
        <w:t>第三节 承灾体基本情况</w:t>
      </w:r>
    </w:p>
    <w:p w14:paraId="50A17A5E">
      <w:pPr>
        <w:pStyle w:val="58"/>
        <w:ind w:firstLine="420"/>
      </w:pPr>
      <w:r>
        <w:t>【注：初步统计总结承灾体相关情况，包括承灾体类型、数量、价值标准等。】</w:t>
      </w:r>
    </w:p>
    <w:p w14:paraId="5DE039AB">
      <w:pPr>
        <w:pStyle w:val="58"/>
        <w:ind w:firstLine="420"/>
      </w:pPr>
      <w:r>
        <w:t>第四节 地质灾害形成条件与影响因素</w:t>
      </w:r>
    </w:p>
    <w:p w14:paraId="7E1146EF">
      <w:pPr>
        <w:pStyle w:val="58"/>
        <w:ind w:firstLine="420"/>
      </w:pPr>
      <w:r>
        <w:t>【注：分析地形地貌、地质条件、人类工程活动、降雨等因素与地质灾害形成的关系。】</w:t>
      </w:r>
    </w:p>
    <w:p w14:paraId="77DB3BA7">
      <w:pPr>
        <w:pStyle w:val="58"/>
        <w:ind w:firstLine="420"/>
      </w:pPr>
      <w:r>
        <w:t>第五节 地质灾害成灾模式</w:t>
      </w:r>
    </w:p>
    <w:p w14:paraId="308C6730">
      <w:pPr>
        <w:pStyle w:val="58"/>
        <w:ind w:firstLine="420"/>
      </w:pPr>
      <w:r>
        <w:t>【注：分析调查区内不同灾种地质灾害的成灾模式。】</w:t>
      </w:r>
    </w:p>
    <w:p w14:paraId="155F571C">
      <w:pPr>
        <w:spacing w:line="240" w:lineRule="auto"/>
        <w:jc w:val="center"/>
        <w:rPr>
          <w:b/>
          <w:bCs/>
        </w:rPr>
      </w:pPr>
      <w:r>
        <w:rPr>
          <w:b/>
          <w:bCs/>
        </w:rPr>
        <w:t>第五章 存在的问题</w:t>
      </w:r>
    </w:p>
    <w:p w14:paraId="059D8945">
      <w:pPr>
        <w:pStyle w:val="58"/>
        <w:ind w:firstLine="420"/>
      </w:pPr>
      <w:r>
        <w:t>【注：简述野外调查工作中遇到的问题。】</w:t>
      </w:r>
    </w:p>
    <w:p w14:paraId="07A7C31C">
      <w:pPr>
        <w:spacing w:line="240" w:lineRule="auto"/>
        <w:jc w:val="center"/>
        <w:rPr>
          <w:b/>
          <w:bCs/>
        </w:rPr>
      </w:pPr>
      <w:r>
        <w:rPr>
          <w:b/>
          <w:bCs/>
        </w:rPr>
        <w:t>第六章 下一步工作安排</w:t>
      </w:r>
    </w:p>
    <w:p w14:paraId="7262C25E">
      <w:pPr>
        <w:pStyle w:val="58"/>
        <w:ind w:firstLine="420"/>
      </w:pPr>
      <w:r>
        <w:t>【注：根据野外工作中存在的问题，结合项目整体部署，提出下一步的工作安排。】</w:t>
      </w:r>
    </w:p>
    <w:p w14:paraId="75EC53CF">
      <w:pPr>
        <w:pStyle w:val="58"/>
        <w:ind w:firstLine="420"/>
      </w:pPr>
    </w:p>
    <w:p w14:paraId="5E3EE90C">
      <w:pPr>
        <w:pStyle w:val="58"/>
        <w:ind w:firstLine="420"/>
      </w:pPr>
    </w:p>
    <w:p w14:paraId="0D83DAB9">
      <w:pPr>
        <w:pStyle w:val="58"/>
        <w:ind w:firstLine="420"/>
        <w:sectPr>
          <w:pgSz w:w="11906" w:h="16838"/>
          <w:pgMar w:top="1928" w:right="1134" w:bottom="1134" w:left="1134" w:header="1418" w:footer="1134" w:gutter="284"/>
          <w:cols w:space="425" w:num="1"/>
          <w:formProt w:val="0"/>
          <w:docGrid w:type="lines" w:linePitch="312" w:charSpace="0"/>
        </w:sectPr>
      </w:pPr>
    </w:p>
    <w:p w14:paraId="6262CA8B">
      <w:pPr>
        <w:pStyle w:val="200"/>
        <w:rPr>
          <w:vanish w:val="0"/>
        </w:rPr>
      </w:pPr>
    </w:p>
    <w:p w14:paraId="60DF1251">
      <w:pPr>
        <w:pStyle w:val="201"/>
        <w:rPr>
          <w:vanish w:val="0"/>
        </w:rPr>
      </w:pPr>
    </w:p>
    <w:p w14:paraId="6E329579">
      <w:pPr>
        <w:pStyle w:val="78"/>
        <w:spacing w:after="156"/>
      </w:pPr>
      <w:r>
        <w:br w:type="textWrapping"/>
      </w:r>
      <w:bookmarkStart w:id="384" w:name="_Toc178172399"/>
      <w:bookmarkStart w:id="385" w:name="_Toc176194195"/>
      <w:r>
        <w:rPr>
          <w:rFonts w:hint="eastAsia"/>
        </w:rPr>
        <w:t>（资料性）</w:t>
      </w:r>
      <w:r>
        <w:br w:type="textWrapping"/>
      </w:r>
      <w:r>
        <w:rPr>
          <w:rFonts w:hint="eastAsia"/>
        </w:rPr>
        <w:t>成果报告编写提纲</w:t>
      </w:r>
      <w:bookmarkEnd w:id="384"/>
      <w:bookmarkEnd w:id="385"/>
    </w:p>
    <w:p w14:paraId="47A53B0B">
      <w:pPr>
        <w:pStyle w:val="58"/>
        <w:ind w:firstLine="420"/>
      </w:pPr>
    </w:p>
    <w:p w14:paraId="2C246301">
      <w:pPr>
        <w:spacing w:line="240" w:lineRule="auto"/>
        <w:jc w:val="center"/>
        <w:rPr>
          <w:rFonts w:ascii="Times New Roman" w:hAnsi="Times New Roman"/>
          <w:b/>
          <w:bCs/>
        </w:rPr>
      </w:pPr>
      <w:r>
        <w:rPr>
          <w:rFonts w:ascii="Times New Roman" w:hAnsi="Times New Roman"/>
          <w:b/>
          <w:bCs/>
        </w:rPr>
        <w:t>第一章</w:t>
      </w:r>
      <w:r>
        <w:rPr>
          <w:rFonts w:hint="eastAsia" w:ascii="Times New Roman" w:hAnsi="Times New Roman"/>
          <w:b/>
          <w:bCs/>
        </w:rPr>
        <w:t xml:space="preserve"> </w:t>
      </w:r>
      <w:r>
        <w:rPr>
          <w:rFonts w:ascii="Times New Roman" w:hAnsi="Times New Roman"/>
          <w:b/>
          <w:bCs/>
        </w:rPr>
        <w:t xml:space="preserve"> 绪论</w:t>
      </w:r>
    </w:p>
    <w:p w14:paraId="0AF6DA22">
      <w:pPr>
        <w:pStyle w:val="58"/>
        <w:ind w:firstLine="420"/>
      </w:pPr>
      <w:r>
        <w:t xml:space="preserve">第一节 </w:t>
      </w:r>
      <w:r>
        <w:rPr>
          <w:rFonts w:hint="eastAsia"/>
        </w:rPr>
        <w:t xml:space="preserve"> </w:t>
      </w:r>
      <w:r>
        <w:t>任务来源及目标任务</w:t>
      </w:r>
    </w:p>
    <w:p w14:paraId="3B1B09BE">
      <w:pPr>
        <w:pStyle w:val="58"/>
        <w:ind w:firstLine="420"/>
      </w:pPr>
      <w:r>
        <w:t>1.任务来源</w:t>
      </w:r>
    </w:p>
    <w:p w14:paraId="17518B21">
      <w:pPr>
        <w:pStyle w:val="58"/>
        <w:ind w:firstLine="420"/>
      </w:pPr>
      <w:r>
        <w:t>2.目标任务</w:t>
      </w:r>
    </w:p>
    <w:p w14:paraId="2E5320F2">
      <w:pPr>
        <w:pStyle w:val="58"/>
        <w:ind w:firstLine="420"/>
      </w:pPr>
      <w:r>
        <w:t>3.任务变更情况</w:t>
      </w:r>
    </w:p>
    <w:p w14:paraId="4623A0FB">
      <w:pPr>
        <w:pStyle w:val="58"/>
        <w:ind w:firstLine="420"/>
      </w:pPr>
      <w:r>
        <w:t>第二节</w:t>
      </w:r>
      <w:r>
        <w:rPr>
          <w:rFonts w:hint="eastAsia"/>
        </w:rPr>
        <w:t xml:space="preserve">  </w:t>
      </w:r>
      <w:r>
        <w:t>工作区</w:t>
      </w:r>
      <w:r>
        <w:rPr>
          <w:rFonts w:hint="eastAsia"/>
        </w:rPr>
        <w:t>地理位置和社会经济</w:t>
      </w:r>
    </w:p>
    <w:p w14:paraId="5FE39872">
      <w:pPr>
        <w:pStyle w:val="58"/>
        <w:ind w:firstLine="420"/>
      </w:pPr>
      <w:r>
        <w:t xml:space="preserve">第三节 </w:t>
      </w:r>
      <w:r>
        <w:rPr>
          <w:rFonts w:hint="eastAsia"/>
        </w:rPr>
        <w:t xml:space="preserve"> </w:t>
      </w:r>
      <w:r>
        <w:t>以往调查工作程度</w:t>
      </w:r>
    </w:p>
    <w:p w14:paraId="395C3065">
      <w:pPr>
        <w:pStyle w:val="58"/>
        <w:ind w:firstLine="420"/>
      </w:pPr>
      <w:r>
        <w:t>第四节  调查工作部署及实物工作量完成情况</w:t>
      </w:r>
    </w:p>
    <w:p w14:paraId="20B96A82">
      <w:pPr>
        <w:pStyle w:val="58"/>
        <w:ind w:firstLine="420"/>
      </w:pPr>
      <w:r>
        <w:t>1.工作部署</w:t>
      </w:r>
    </w:p>
    <w:p w14:paraId="0437D293">
      <w:pPr>
        <w:pStyle w:val="58"/>
        <w:ind w:firstLine="420"/>
      </w:pPr>
      <w:r>
        <w:t>2.工作方法</w:t>
      </w:r>
    </w:p>
    <w:p w14:paraId="6C96009B">
      <w:pPr>
        <w:pStyle w:val="58"/>
        <w:ind w:firstLine="420"/>
      </w:pPr>
      <w:r>
        <w:t>3.完成的实物工作量</w:t>
      </w:r>
    </w:p>
    <w:p w14:paraId="51A224C8">
      <w:pPr>
        <w:pStyle w:val="58"/>
        <w:ind w:firstLine="420"/>
      </w:pPr>
      <w:r>
        <w:t>第五节</w:t>
      </w:r>
      <w:r>
        <w:rPr>
          <w:rFonts w:hint="eastAsia"/>
        </w:rPr>
        <w:t xml:space="preserve"> </w:t>
      </w:r>
      <w:r>
        <w:t>质量评述（技术层面质量控制）</w:t>
      </w:r>
    </w:p>
    <w:p w14:paraId="5469EAD7">
      <w:pPr>
        <w:pStyle w:val="58"/>
        <w:ind w:firstLine="420"/>
      </w:pPr>
      <w:r>
        <w:t>第六节</w:t>
      </w:r>
      <w:r>
        <w:rPr>
          <w:rFonts w:hint="eastAsia"/>
        </w:rPr>
        <w:t xml:space="preserve"> </w:t>
      </w:r>
      <w:r>
        <w:t>主要成果（技术成果、成果转化、社会服务等）</w:t>
      </w:r>
    </w:p>
    <w:p w14:paraId="7E63204E">
      <w:pPr>
        <w:pStyle w:val="58"/>
        <w:ind w:firstLine="420"/>
      </w:pPr>
      <w:r>
        <w:t>第七节 章节安排与分工</w:t>
      </w:r>
    </w:p>
    <w:p w14:paraId="3BDB473F">
      <w:pPr>
        <w:spacing w:line="240" w:lineRule="auto"/>
        <w:jc w:val="center"/>
        <w:rPr>
          <w:rFonts w:ascii="Times New Roman" w:hAnsi="Times New Roman"/>
          <w:b/>
          <w:bCs/>
        </w:rPr>
      </w:pPr>
      <w:r>
        <w:rPr>
          <w:rFonts w:ascii="Times New Roman" w:hAnsi="Times New Roman"/>
          <w:b/>
          <w:bCs/>
        </w:rPr>
        <w:t>第二章</w:t>
      </w:r>
      <w:r>
        <w:rPr>
          <w:rFonts w:hint="eastAsia" w:ascii="Times New Roman" w:hAnsi="Times New Roman"/>
          <w:b/>
          <w:bCs/>
        </w:rPr>
        <w:t xml:space="preserve"> </w:t>
      </w:r>
      <w:r>
        <w:rPr>
          <w:rFonts w:ascii="Times New Roman" w:hAnsi="Times New Roman"/>
          <w:b/>
          <w:bCs/>
        </w:rPr>
        <w:t xml:space="preserve"> 自然地理与区域地质环境概况</w:t>
      </w:r>
    </w:p>
    <w:p w14:paraId="66491FEA">
      <w:pPr>
        <w:pStyle w:val="58"/>
        <w:ind w:firstLine="420"/>
      </w:pPr>
      <w:r>
        <w:t xml:space="preserve">第一节 </w:t>
      </w:r>
      <w:r>
        <w:rPr>
          <w:rFonts w:hint="eastAsia"/>
        </w:rPr>
        <w:t xml:space="preserve"> </w:t>
      </w:r>
      <w:r>
        <w:t>自然地理</w:t>
      </w:r>
    </w:p>
    <w:p w14:paraId="1E5A40A8">
      <w:pPr>
        <w:pStyle w:val="58"/>
        <w:ind w:firstLine="420"/>
      </w:pPr>
      <w:r>
        <w:t>1.地形地貌</w:t>
      </w:r>
    </w:p>
    <w:p w14:paraId="076F2F0C">
      <w:pPr>
        <w:pStyle w:val="58"/>
        <w:ind w:firstLine="420"/>
      </w:pPr>
      <w:r>
        <w:t>2.气象</w:t>
      </w:r>
    </w:p>
    <w:p w14:paraId="4F6C93CF">
      <w:pPr>
        <w:pStyle w:val="58"/>
        <w:ind w:firstLine="420"/>
      </w:pPr>
      <w:r>
        <w:t>3.水文</w:t>
      </w:r>
    </w:p>
    <w:p w14:paraId="136F4BBC">
      <w:pPr>
        <w:pStyle w:val="58"/>
        <w:ind w:firstLine="420"/>
      </w:pPr>
      <w:r>
        <w:t>4.</w:t>
      </w:r>
      <w:r>
        <w:rPr>
          <w:rFonts w:hint="eastAsia"/>
        </w:rPr>
        <w:t>土地利用与</w:t>
      </w:r>
      <w:r>
        <w:t>植被</w:t>
      </w:r>
    </w:p>
    <w:p w14:paraId="2FB9357A">
      <w:pPr>
        <w:pStyle w:val="58"/>
        <w:ind w:firstLine="420"/>
      </w:pPr>
      <w:r>
        <w:t>第二节  地层岩性</w:t>
      </w:r>
    </w:p>
    <w:p w14:paraId="6F455C6A">
      <w:pPr>
        <w:pStyle w:val="58"/>
        <w:ind w:firstLine="420"/>
      </w:pPr>
      <w:r>
        <w:t>第三节</w:t>
      </w:r>
      <w:r>
        <w:rPr>
          <w:rFonts w:hint="eastAsia"/>
        </w:rPr>
        <w:t xml:space="preserve">  </w:t>
      </w:r>
      <w:r>
        <w:t>地质构造</w:t>
      </w:r>
    </w:p>
    <w:p w14:paraId="52F73934">
      <w:pPr>
        <w:pStyle w:val="58"/>
        <w:ind w:firstLine="420"/>
      </w:pPr>
      <w:r>
        <w:t>第四节</w:t>
      </w:r>
      <w:r>
        <w:rPr>
          <w:rFonts w:hint="eastAsia"/>
        </w:rPr>
        <w:t xml:space="preserve">  </w:t>
      </w:r>
      <w:r>
        <w:t>新构造运动与地震</w:t>
      </w:r>
    </w:p>
    <w:p w14:paraId="715A72E7">
      <w:pPr>
        <w:pStyle w:val="58"/>
        <w:ind w:firstLine="420"/>
      </w:pPr>
      <w:r>
        <w:t>第五节  水文地质特征</w:t>
      </w:r>
    </w:p>
    <w:p w14:paraId="35F70127">
      <w:pPr>
        <w:pStyle w:val="58"/>
        <w:ind w:firstLine="420"/>
      </w:pPr>
      <w:r>
        <w:t>第六节  工程地质条件与主要工程地质问题</w:t>
      </w:r>
    </w:p>
    <w:p w14:paraId="5FF40B1C">
      <w:pPr>
        <w:pStyle w:val="58"/>
        <w:ind w:firstLine="420"/>
      </w:pPr>
      <w:r>
        <w:t>第七节  人类工程活动</w:t>
      </w:r>
    </w:p>
    <w:p w14:paraId="305B1820">
      <w:pPr>
        <w:spacing w:line="240" w:lineRule="auto"/>
        <w:jc w:val="center"/>
        <w:rPr>
          <w:rFonts w:ascii="Times New Roman" w:hAnsi="Times New Roman"/>
          <w:b/>
          <w:bCs/>
        </w:rPr>
      </w:pPr>
      <w:r>
        <w:rPr>
          <w:rFonts w:ascii="Times New Roman" w:hAnsi="Times New Roman"/>
          <w:b/>
          <w:bCs/>
        </w:rPr>
        <w:t>第三章</w:t>
      </w:r>
      <w:r>
        <w:rPr>
          <w:rFonts w:hint="eastAsia" w:ascii="Times New Roman" w:hAnsi="Times New Roman"/>
          <w:b/>
          <w:bCs/>
        </w:rPr>
        <w:t xml:space="preserve">  </w:t>
      </w:r>
      <w:r>
        <w:rPr>
          <w:rFonts w:ascii="Times New Roman" w:hAnsi="Times New Roman"/>
          <w:b/>
          <w:bCs/>
        </w:rPr>
        <w:t>地质灾害特征及分布规律</w:t>
      </w:r>
    </w:p>
    <w:p w14:paraId="31B94D21">
      <w:pPr>
        <w:pStyle w:val="58"/>
        <w:ind w:firstLine="420"/>
      </w:pPr>
      <w:r>
        <w:t>第一节</w:t>
      </w:r>
      <w:r>
        <w:rPr>
          <w:rFonts w:hint="eastAsia"/>
        </w:rPr>
        <w:t xml:space="preserve">  </w:t>
      </w:r>
      <w:r>
        <w:t>地质灾害</w:t>
      </w:r>
      <w:r>
        <w:rPr>
          <w:rFonts w:hint="eastAsia"/>
        </w:rPr>
        <w:t>概况</w:t>
      </w:r>
    </w:p>
    <w:p w14:paraId="2CD0CC19">
      <w:pPr>
        <w:pStyle w:val="58"/>
        <w:ind w:firstLine="420"/>
      </w:pPr>
      <w:r>
        <w:t>1.滑坡</w:t>
      </w:r>
    </w:p>
    <w:p w14:paraId="61329E24">
      <w:pPr>
        <w:pStyle w:val="58"/>
        <w:ind w:firstLine="420"/>
      </w:pPr>
      <w:r>
        <w:t>2.崩塌</w:t>
      </w:r>
    </w:p>
    <w:p w14:paraId="6DE9BAB8">
      <w:pPr>
        <w:pStyle w:val="58"/>
        <w:ind w:firstLine="420"/>
      </w:pPr>
      <w:r>
        <w:t>3.泥石流</w:t>
      </w:r>
    </w:p>
    <w:p w14:paraId="3AAD1769">
      <w:pPr>
        <w:pStyle w:val="58"/>
        <w:ind w:firstLine="420"/>
      </w:pPr>
      <w:r>
        <w:t>4.地面塌陷</w:t>
      </w:r>
    </w:p>
    <w:p w14:paraId="1D67E6A5">
      <w:pPr>
        <w:pStyle w:val="58"/>
        <w:ind w:firstLine="420"/>
      </w:pPr>
      <w:r>
        <w:t>5.</w:t>
      </w:r>
      <w:r>
        <w:rPr>
          <w:rFonts w:hint="eastAsia"/>
        </w:rPr>
        <w:t>地面沉降</w:t>
      </w:r>
    </w:p>
    <w:p w14:paraId="36081711">
      <w:pPr>
        <w:pStyle w:val="58"/>
        <w:ind w:firstLine="420"/>
      </w:pPr>
      <w:r>
        <w:rPr>
          <w:rFonts w:hint="eastAsia"/>
        </w:rPr>
        <w:t>6.地裂缝</w:t>
      </w:r>
    </w:p>
    <w:p w14:paraId="6F69B9D2">
      <w:pPr>
        <w:pStyle w:val="58"/>
        <w:ind w:firstLine="420"/>
      </w:pPr>
      <w:r>
        <w:t>第二节  地质灾害发育特征</w:t>
      </w:r>
    </w:p>
    <w:p w14:paraId="460A948A">
      <w:pPr>
        <w:pStyle w:val="58"/>
        <w:ind w:firstLine="420"/>
      </w:pPr>
      <w:r>
        <w:t>第三节  地质灾害危害特征</w:t>
      </w:r>
    </w:p>
    <w:p w14:paraId="1EF157AA">
      <w:pPr>
        <w:pStyle w:val="58"/>
        <w:ind w:firstLine="420"/>
      </w:pPr>
      <w:r>
        <w:t>第四节  地质灾害分布规律</w:t>
      </w:r>
    </w:p>
    <w:p w14:paraId="2BBCCCF5">
      <w:pPr>
        <w:spacing w:line="240" w:lineRule="auto"/>
        <w:jc w:val="center"/>
        <w:rPr>
          <w:rFonts w:ascii="Times New Roman" w:hAnsi="Times New Roman"/>
          <w:b/>
          <w:bCs/>
        </w:rPr>
      </w:pPr>
      <w:r>
        <w:rPr>
          <w:rFonts w:ascii="Times New Roman" w:hAnsi="Times New Roman"/>
          <w:b/>
          <w:bCs/>
        </w:rPr>
        <w:t>第四章  地质灾害形成条件及机理分析</w:t>
      </w:r>
    </w:p>
    <w:p w14:paraId="050F8F53">
      <w:pPr>
        <w:pStyle w:val="58"/>
        <w:ind w:firstLine="420"/>
      </w:pPr>
      <w:r>
        <w:t xml:space="preserve">第一节 </w:t>
      </w:r>
      <w:r>
        <w:rPr>
          <w:rFonts w:hint="eastAsia"/>
        </w:rPr>
        <w:t xml:space="preserve"> </w:t>
      </w:r>
      <w:r>
        <w:t>地形地貌与地质灾害</w:t>
      </w:r>
    </w:p>
    <w:p w14:paraId="40FA1F18">
      <w:pPr>
        <w:pStyle w:val="58"/>
        <w:ind w:firstLine="420"/>
      </w:pPr>
      <w:r>
        <w:t xml:space="preserve">第二节 </w:t>
      </w:r>
      <w:r>
        <w:rPr>
          <w:rFonts w:hint="eastAsia"/>
        </w:rPr>
        <w:t xml:space="preserve"> </w:t>
      </w:r>
      <w:r>
        <w:t>地质构造与地质灾害</w:t>
      </w:r>
    </w:p>
    <w:p w14:paraId="5687C18C">
      <w:pPr>
        <w:pStyle w:val="58"/>
        <w:ind w:firstLine="420"/>
      </w:pPr>
      <w:r>
        <w:t xml:space="preserve">第三节 </w:t>
      </w:r>
      <w:r>
        <w:rPr>
          <w:rFonts w:hint="eastAsia"/>
        </w:rPr>
        <w:t xml:space="preserve"> </w:t>
      </w:r>
      <w:r>
        <w:t>地层岩性与地质灾害</w:t>
      </w:r>
    </w:p>
    <w:p w14:paraId="3118EBEE">
      <w:pPr>
        <w:pStyle w:val="58"/>
        <w:ind w:firstLine="420"/>
      </w:pPr>
      <w:r>
        <w:t xml:space="preserve">第四节 </w:t>
      </w:r>
      <w:r>
        <w:rPr>
          <w:rFonts w:hint="eastAsia"/>
        </w:rPr>
        <w:t xml:space="preserve"> </w:t>
      </w:r>
      <w:r>
        <w:t>降水与地质灾害</w:t>
      </w:r>
    </w:p>
    <w:p w14:paraId="241FDBA9">
      <w:pPr>
        <w:pStyle w:val="58"/>
        <w:ind w:firstLine="420"/>
      </w:pPr>
      <w:r>
        <w:t xml:space="preserve">第五节 </w:t>
      </w:r>
      <w:r>
        <w:rPr>
          <w:rFonts w:hint="eastAsia"/>
        </w:rPr>
        <w:t xml:space="preserve"> </w:t>
      </w:r>
      <w:r>
        <w:t>人类工程活动与地质灾害</w:t>
      </w:r>
    </w:p>
    <w:p w14:paraId="753A9FD5">
      <w:pPr>
        <w:pStyle w:val="58"/>
        <w:ind w:firstLine="420"/>
      </w:pPr>
      <w:r>
        <w:t>第</w:t>
      </w:r>
      <w:r>
        <w:rPr>
          <w:rFonts w:hint="eastAsia"/>
        </w:rPr>
        <w:t>六</w:t>
      </w:r>
      <w:r>
        <w:t>节  地质灾害形成机理</w:t>
      </w:r>
      <w:r>
        <w:rPr>
          <w:rFonts w:hint="eastAsia"/>
        </w:rPr>
        <w:t>与成灾模式</w:t>
      </w:r>
    </w:p>
    <w:p w14:paraId="6512AC7B">
      <w:pPr>
        <w:pStyle w:val="58"/>
        <w:ind w:firstLine="420"/>
      </w:pPr>
      <w:r>
        <w:t>第</w:t>
      </w:r>
      <w:r>
        <w:rPr>
          <w:rFonts w:hint="eastAsia"/>
        </w:rPr>
        <w:t>七</w:t>
      </w:r>
      <w:r>
        <w:t>节  典型地质灾害点剖析</w:t>
      </w:r>
    </w:p>
    <w:p w14:paraId="186FDF80">
      <w:pPr>
        <w:spacing w:line="240" w:lineRule="auto"/>
        <w:jc w:val="center"/>
        <w:rPr>
          <w:rFonts w:ascii="Times New Roman" w:hAnsi="Times New Roman"/>
          <w:b/>
          <w:bCs/>
        </w:rPr>
      </w:pPr>
      <w:r>
        <w:rPr>
          <w:rFonts w:ascii="Times New Roman" w:hAnsi="Times New Roman"/>
          <w:b/>
          <w:bCs/>
        </w:rPr>
        <w:t>第</w:t>
      </w:r>
      <w:r>
        <w:rPr>
          <w:rFonts w:hint="eastAsia" w:ascii="Times New Roman" w:hAnsi="Times New Roman"/>
          <w:b/>
          <w:bCs/>
        </w:rPr>
        <w:t>五</w:t>
      </w:r>
      <w:r>
        <w:rPr>
          <w:rFonts w:ascii="Times New Roman" w:hAnsi="Times New Roman"/>
          <w:b/>
          <w:bCs/>
        </w:rPr>
        <w:t>章  地质灾害易发性评价</w:t>
      </w:r>
    </w:p>
    <w:p w14:paraId="16DDEBCC">
      <w:pPr>
        <w:pStyle w:val="58"/>
        <w:ind w:firstLine="420"/>
      </w:pPr>
      <w:r>
        <w:t>第一节  评价指标体系</w:t>
      </w:r>
    </w:p>
    <w:p w14:paraId="5AABB0B9">
      <w:pPr>
        <w:pStyle w:val="58"/>
        <w:ind w:firstLine="420"/>
      </w:pPr>
      <w:r>
        <w:t>第二节  评价方法</w:t>
      </w:r>
    </w:p>
    <w:p w14:paraId="07A78B38">
      <w:pPr>
        <w:pStyle w:val="58"/>
        <w:ind w:firstLine="420"/>
      </w:pPr>
      <w:r>
        <w:t>第三节  评价结果</w:t>
      </w:r>
    </w:p>
    <w:p w14:paraId="419486EF">
      <w:pPr>
        <w:pStyle w:val="58"/>
        <w:ind w:firstLine="420"/>
      </w:pPr>
      <w:r>
        <w:t>【注：本章中，不同尺度的评价，应分别说明评价的方法、数据来源、指标体系、分区评价及说明</w:t>
      </w:r>
      <w:r>
        <w:rPr>
          <w:rFonts w:hint="eastAsia"/>
        </w:rPr>
        <w:t>。</w:t>
      </w:r>
      <w:r>
        <w:t>】</w:t>
      </w:r>
    </w:p>
    <w:p w14:paraId="7A096360">
      <w:pPr>
        <w:spacing w:line="240" w:lineRule="auto"/>
        <w:jc w:val="center"/>
        <w:rPr>
          <w:rFonts w:ascii="Times New Roman" w:hAnsi="Times New Roman"/>
          <w:b/>
          <w:bCs/>
        </w:rPr>
      </w:pPr>
      <w:r>
        <w:rPr>
          <w:rFonts w:ascii="Times New Roman" w:hAnsi="Times New Roman"/>
          <w:b/>
          <w:bCs/>
        </w:rPr>
        <w:t>第</w:t>
      </w:r>
      <w:r>
        <w:rPr>
          <w:rFonts w:hint="eastAsia" w:ascii="Times New Roman" w:hAnsi="Times New Roman"/>
          <w:b/>
          <w:bCs/>
        </w:rPr>
        <w:t>六</w:t>
      </w:r>
      <w:r>
        <w:rPr>
          <w:rFonts w:ascii="Times New Roman" w:hAnsi="Times New Roman"/>
          <w:b/>
          <w:bCs/>
        </w:rPr>
        <w:t xml:space="preserve">章 </w:t>
      </w:r>
      <w:r>
        <w:rPr>
          <w:rFonts w:hint="eastAsia" w:ascii="Times New Roman" w:hAnsi="Times New Roman"/>
          <w:b/>
          <w:bCs/>
        </w:rPr>
        <w:t xml:space="preserve"> </w:t>
      </w:r>
      <w:r>
        <w:rPr>
          <w:rFonts w:ascii="Times New Roman" w:hAnsi="Times New Roman"/>
          <w:b/>
          <w:bCs/>
        </w:rPr>
        <w:t>地质灾害危险性评价</w:t>
      </w:r>
    </w:p>
    <w:p w14:paraId="553650EF">
      <w:pPr>
        <w:pStyle w:val="58"/>
        <w:ind w:firstLine="420"/>
      </w:pPr>
      <w:r>
        <w:t>第一节  评价指标体系</w:t>
      </w:r>
    </w:p>
    <w:p w14:paraId="1FCBD2CB">
      <w:pPr>
        <w:pStyle w:val="58"/>
        <w:ind w:firstLine="420"/>
      </w:pPr>
      <w:r>
        <w:t>第二节  评价方法</w:t>
      </w:r>
    </w:p>
    <w:p w14:paraId="696273C9">
      <w:pPr>
        <w:pStyle w:val="58"/>
        <w:ind w:firstLine="420"/>
      </w:pPr>
      <w:r>
        <w:t>第三节  评价结果</w:t>
      </w:r>
      <w:r>
        <w:rPr>
          <w:rFonts w:hint="eastAsia"/>
        </w:rPr>
        <w:t>及结果验证</w:t>
      </w:r>
    </w:p>
    <w:p w14:paraId="0100CF26">
      <w:pPr>
        <w:pStyle w:val="58"/>
        <w:ind w:firstLine="420"/>
      </w:pPr>
      <w:r>
        <w:t>【注：本章中，不同尺度的评价，应分别说明评价的方法、数据来源、指标体系、分区评价及说明；对于</w:t>
      </w:r>
      <w:r>
        <w:rPr>
          <w:rFonts w:hint="eastAsia"/>
        </w:rPr>
        <w:t>典型地段</w:t>
      </w:r>
      <w:r>
        <w:t>评价，统一叙述评价原则、评价方法等。】</w:t>
      </w:r>
    </w:p>
    <w:p w14:paraId="17179237">
      <w:pPr>
        <w:spacing w:line="240" w:lineRule="auto"/>
        <w:jc w:val="center"/>
        <w:rPr>
          <w:rFonts w:ascii="Times New Roman" w:hAnsi="Times New Roman"/>
          <w:b/>
          <w:bCs/>
        </w:rPr>
      </w:pPr>
      <w:r>
        <w:rPr>
          <w:rFonts w:ascii="Times New Roman" w:hAnsi="Times New Roman"/>
          <w:b/>
          <w:bCs/>
        </w:rPr>
        <w:t>第</w:t>
      </w:r>
      <w:r>
        <w:rPr>
          <w:rFonts w:hint="eastAsia" w:ascii="Times New Roman" w:hAnsi="Times New Roman"/>
          <w:b/>
          <w:bCs/>
        </w:rPr>
        <w:t>七</w:t>
      </w:r>
      <w:r>
        <w:rPr>
          <w:rFonts w:ascii="Times New Roman" w:hAnsi="Times New Roman"/>
          <w:b/>
          <w:bCs/>
        </w:rPr>
        <w:t xml:space="preserve">章 </w:t>
      </w:r>
      <w:r>
        <w:rPr>
          <w:rFonts w:hint="eastAsia" w:ascii="Times New Roman" w:hAnsi="Times New Roman"/>
          <w:b/>
          <w:bCs/>
        </w:rPr>
        <w:t xml:space="preserve"> </w:t>
      </w:r>
      <w:r>
        <w:rPr>
          <w:rFonts w:ascii="Times New Roman" w:hAnsi="Times New Roman"/>
          <w:b/>
          <w:bCs/>
        </w:rPr>
        <w:t>地质灾害风险评价</w:t>
      </w:r>
    </w:p>
    <w:p w14:paraId="7E50FE4D">
      <w:pPr>
        <w:pStyle w:val="58"/>
        <w:ind w:firstLine="420"/>
      </w:pPr>
      <w:r>
        <w:t>第一节  承灾体识别与易损性评价</w:t>
      </w:r>
    </w:p>
    <w:p w14:paraId="0438CFC4">
      <w:pPr>
        <w:pStyle w:val="58"/>
        <w:ind w:firstLine="420"/>
      </w:pPr>
      <w:r>
        <w:t>第</w:t>
      </w:r>
      <w:r>
        <w:rPr>
          <w:rFonts w:hint="eastAsia"/>
        </w:rPr>
        <w:t>二</w:t>
      </w:r>
      <w:r>
        <w:t>节  评价方法</w:t>
      </w:r>
    </w:p>
    <w:p w14:paraId="128750C5">
      <w:pPr>
        <w:pStyle w:val="58"/>
        <w:ind w:firstLine="420"/>
      </w:pPr>
      <w:r>
        <w:t>第</w:t>
      </w:r>
      <w:r>
        <w:rPr>
          <w:rFonts w:hint="eastAsia"/>
        </w:rPr>
        <w:t>三</w:t>
      </w:r>
      <w:r>
        <w:t xml:space="preserve">节  </w:t>
      </w:r>
      <w:r>
        <w:rPr>
          <w:rFonts w:hint="eastAsia"/>
        </w:rPr>
        <w:t>评价结果</w:t>
      </w:r>
    </w:p>
    <w:p w14:paraId="6C3262BD">
      <w:pPr>
        <w:pStyle w:val="58"/>
        <w:ind w:firstLine="420"/>
      </w:pPr>
      <w:r>
        <w:t>【注：本章中，不同尺度的评价，应分别说明评价的方法、数据来源、指标体系、分区评价及说明。】</w:t>
      </w:r>
    </w:p>
    <w:p w14:paraId="6402F04F">
      <w:pPr>
        <w:spacing w:line="240" w:lineRule="auto"/>
        <w:jc w:val="center"/>
        <w:rPr>
          <w:rFonts w:ascii="Times New Roman" w:hAnsi="Times New Roman"/>
          <w:b/>
          <w:bCs/>
        </w:rPr>
      </w:pPr>
      <w:r>
        <w:rPr>
          <w:rFonts w:ascii="Times New Roman" w:hAnsi="Times New Roman"/>
          <w:b/>
          <w:bCs/>
        </w:rPr>
        <w:t>第</w:t>
      </w:r>
      <w:r>
        <w:rPr>
          <w:rFonts w:hint="eastAsia" w:ascii="Times New Roman" w:hAnsi="Times New Roman"/>
          <w:b/>
          <w:bCs/>
        </w:rPr>
        <w:t>八</w:t>
      </w:r>
      <w:r>
        <w:rPr>
          <w:rFonts w:ascii="Times New Roman" w:hAnsi="Times New Roman"/>
          <w:b/>
          <w:bCs/>
        </w:rPr>
        <w:t xml:space="preserve">章 </w:t>
      </w:r>
      <w:r>
        <w:rPr>
          <w:rFonts w:hint="eastAsia" w:ascii="Times New Roman" w:hAnsi="Times New Roman"/>
          <w:b/>
          <w:bCs/>
        </w:rPr>
        <w:t xml:space="preserve"> </w:t>
      </w:r>
      <w:r>
        <w:rPr>
          <w:rFonts w:ascii="Times New Roman" w:hAnsi="Times New Roman"/>
          <w:b/>
          <w:bCs/>
        </w:rPr>
        <w:t>地质灾害降雨阈值分析</w:t>
      </w:r>
    </w:p>
    <w:p w14:paraId="5FC9E615">
      <w:pPr>
        <w:pStyle w:val="58"/>
        <w:ind w:firstLine="420"/>
      </w:pPr>
      <w:r>
        <w:t>第一节  分析方法</w:t>
      </w:r>
    </w:p>
    <w:p w14:paraId="5F8C963C">
      <w:pPr>
        <w:pStyle w:val="58"/>
        <w:ind w:firstLine="420"/>
      </w:pPr>
      <w:r>
        <w:t>第二节  样本数据分析</w:t>
      </w:r>
    </w:p>
    <w:p w14:paraId="2F6C5723">
      <w:pPr>
        <w:pStyle w:val="58"/>
        <w:ind w:firstLine="420"/>
      </w:pPr>
      <w:r>
        <w:t>第三节  降雨阈值确定</w:t>
      </w:r>
    </w:p>
    <w:p w14:paraId="6A579D4C">
      <w:pPr>
        <w:spacing w:line="240" w:lineRule="auto"/>
        <w:jc w:val="center"/>
        <w:rPr>
          <w:rFonts w:ascii="Times New Roman" w:hAnsi="Times New Roman"/>
          <w:b/>
          <w:bCs/>
        </w:rPr>
      </w:pPr>
      <w:r>
        <w:rPr>
          <w:rFonts w:ascii="Times New Roman" w:hAnsi="Times New Roman"/>
          <w:b/>
          <w:bCs/>
        </w:rPr>
        <w:t>第</w:t>
      </w:r>
      <w:r>
        <w:rPr>
          <w:rFonts w:hint="eastAsia" w:ascii="Times New Roman" w:hAnsi="Times New Roman"/>
          <w:b/>
          <w:bCs/>
        </w:rPr>
        <w:t>九</w:t>
      </w:r>
      <w:r>
        <w:rPr>
          <w:rFonts w:ascii="Times New Roman" w:hAnsi="Times New Roman"/>
          <w:b/>
          <w:bCs/>
        </w:rPr>
        <w:t xml:space="preserve">章 </w:t>
      </w:r>
      <w:r>
        <w:rPr>
          <w:rFonts w:hint="eastAsia" w:ascii="Times New Roman" w:hAnsi="Times New Roman"/>
          <w:b/>
          <w:bCs/>
        </w:rPr>
        <w:t xml:space="preserve"> </w:t>
      </w:r>
      <w:r>
        <w:rPr>
          <w:rFonts w:ascii="Times New Roman" w:hAnsi="Times New Roman"/>
          <w:b/>
          <w:bCs/>
        </w:rPr>
        <w:t>地质灾害风险管控对策建议</w:t>
      </w:r>
    </w:p>
    <w:p w14:paraId="3E3A66AB">
      <w:pPr>
        <w:pStyle w:val="58"/>
        <w:ind w:firstLine="420"/>
      </w:pPr>
      <w:r>
        <w:t>第一节  地质灾害风险管控区划定</w:t>
      </w:r>
    </w:p>
    <w:p w14:paraId="618183D6">
      <w:pPr>
        <w:pStyle w:val="58"/>
        <w:ind w:firstLine="420"/>
      </w:pPr>
      <w:r>
        <w:t>第二节  风险管控对策建议</w:t>
      </w:r>
    </w:p>
    <w:p w14:paraId="40ABA127">
      <w:pPr>
        <w:pStyle w:val="58"/>
        <w:ind w:firstLine="420"/>
      </w:pPr>
      <w:r>
        <w:t>【注：根据风险评价结论，结合工作区防灾减灾工作的实际情况，从降低致灾体灾害发生概率、提高承灾体易损性、有效规避风险等角度提出避让搬迁、工程治理、监测点布设、气象风险预警、应急避险等综合地质灾害风险管制和降低风险措施建议。】</w:t>
      </w:r>
    </w:p>
    <w:p w14:paraId="13522B0A">
      <w:pPr>
        <w:spacing w:line="240" w:lineRule="auto"/>
        <w:jc w:val="center"/>
        <w:rPr>
          <w:rFonts w:ascii="Times New Roman" w:hAnsi="Times New Roman"/>
          <w:b/>
          <w:bCs/>
        </w:rPr>
      </w:pPr>
      <w:r>
        <w:rPr>
          <w:rFonts w:ascii="Times New Roman" w:hAnsi="Times New Roman"/>
          <w:b/>
          <w:bCs/>
        </w:rPr>
        <w:t xml:space="preserve">第十章 </w:t>
      </w:r>
      <w:r>
        <w:rPr>
          <w:rFonts w:hint="eastAsia" w:ascii="Times New Roman" w:hAnsi="Times New Roman"/>
          <w:b/>
          <w:bCs/>
        </w:rPr>
        <w:t xml:space="preserve"> </w:t>
      </w:r>
      <w:r>
        <w:rPr>
          <w:rFonts w:ascii="Times New Roman" w:hAnsi="Times New Roman"/>
          <w:b/>
          <w:bCs/>
        </w:rPr>
        <w:t>空间数据库建设</w:t>
      </w:r>
    </w:p>
    <w:p w14:paraId="5249D840">
      <w:pPr>
        <w:pStyle w:val="58"/>
        <w:ind w:firstLine="420"/>
      </w:pPr>
      <w:r>
        <w:t>第一节  完成情况概述</w:t>
      </w:r>
    </w:p>
    <w:p w14:paraId="75FA033C">
      <w:pPr>
        <w:pStyle w:val="58"/>
        <w:ind w:firstLine="420"/>
      </w:pPr>
      <w:r>
        <w:t>第二节  数据质量评述</w:t>
      </w:r>
    </w:p>
    <w:p w14:paraId="135B1BE5">
      <w:pPr>
        <w:pStyle w:val="58"/>
        <w:ind w:firstLine="420"/>
      </w:pPr>
      <w:r>
        <w:t>第三节  其它补充说明</w:t>
      </w:r>
    </w:p>
    <w:p w14:paraId="2949E6DA">
      <w:pPr>
        <w:pStyle w:val="58"/>
        <w:ind w:firstLine="420"/>
      </w:pPr>
      <w:r>
        <w:t>【注：本章中，说明数据库建设依据的标准、建库结构、数据库内容等。】</w:t>
      </w:r>
    </w:p>
    <w:p w14:paraId="1329F7B0">
      <w:pPr>
        <w:spacing w:line="240" w:lineRule="auto"/>
        <w:jc w:val="center"/>
        <w:rPr>
          <w:rFonts w:ascii="Times New Roman" w:hAnsi="Times New Roman"/>
          <w:b/>
          <w:bCs/>
        </w:rPr>
      </w:pPr>
      <w:r>
        <w:rPr>
          <w:rFonts w:ascii="Times New Roman" w:hAnsi="Times New Roman"/>
          <w:b/>
          <w:bCs/>
        </w:rPr>
        <w:t>第十一章  结论与建议</w:t>
      </w:r>
    </w:p>
    <w:p w14:paraId="4C0FE125">
      <w:pPr>
        <w:pStyle w:val="58"/>
        <w:ind w:firstLine="420"/>
      </w:pPr>
      <w:r>
        <w:t>第一节  结论</w:t>
      </w:r>
    </w:p>
    <w:p w14:paraId="2E9B1BDF">
      <w:pPr>
        <w:pStyle w:val="58"/>
        <w:ind w:firstLine="420"/>
      </w:pPr>
      <w:r>
        <w:t>第二节  建议</w:t>
      </w:r>
      <w:bookmarkEnd w:id="286"/>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imesNewRomanPS-ItalicMT">
    <w:altName w:val="宋体"/>
    <w:panose1 w:val="00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78A17">
    <w:pPr>
      <w:pStyle w:val="1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8CD56D">
    <w:pPr>
      <w:pStyle w:val="18"/>
    </w:pPr>
    <w:r>
      <mc:AlternateContent>
        <mc:Choice Requires="wps">
          <w:drawing>
            <wp:anchor distT="0" distB="0" distL="114300" distR="114300" simplePos="0" relativeHeight="251668480"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188206625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4308A47">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68pt;height:144pt;width:144pt;mso-position-horizontal-relative:page;mso-position-vertical-relative:page;mso-wrap-style:none;z-index:251668480;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IGITl1gAAAAsBAAAPAAAAAAAAAAEAIAAAACIAAABkcnMvZG93bnJldi54&#10;bWxQSwECFAAUAAAACACHTuJA0a9SuzUCAABgBAAADgAAAAAAAAABACAAAAAlAQAAZHJzL2Uyb0Rv&#10;Yy54bWxQSwUGAAAAAAYABgBZAQAAzAUAAAAA&#10;">
              <v:fill on="f" focussize="0,0"/>
              <v:stroke on="f" weight="0.5pt"/>
              <v:imagedata o:title=""/>
              <o:lock v:ext="edit" aspectratio="f"/>
              <v:textbox inset="0mm,0mm,0mm,0mm" style="layout-flow:vertical-ideographic;mso-fit-shape-to-text:t;">
                <w:txbxContent>
                  <w:p w14:paraId="04308A47">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8904A">
    <w:pPr>
      <w:pStyle w:val="54"/>
    </w:pPr>
    <w:r>
      <w:fldChar w:fldCharType="begin"/>
    </w:r>
    <w:r>
      <w:instrText xml:space="preserve">PAGE   \* MERGEFORMAT</w:instrText>
    </w:r>
    <w:r>
      <w:fldChar w:fldCharType="separate"/>
    </w:r>
    <w:r>
      <w:rPr>
        <w:lang w:val="zh-CN"/>
      </w:rPr>
      <w:t>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73845">
    <w:pPr>
      <w:pStyle w:val="18"/>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FD4BB">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98F279">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F56FA">
    <w:pPr>
      <w:pStyle w:val="54"/>
    </w:pPr>
    <w:r>
      <w:fldChar w:fldCharType="begin"/>
    </w:r>
    <w:r>
      <w:instrText xml:space="preserve">PAGE   \* MERGEFORMAT</w:instrText>
    </w:r>
    <w:r>
      <w:fldChar w:fldCharType="separate"/>
    </w:r>
    <w:r>
      <w:rPr>
        <w:lang w:val="zh-CN"/>
      </w:rPr>
      <w:t>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2102B">
    <w:pPr>
      <w:pStyle w:val="54"/>
    </w:pPr>
    <w:r>
      <mc:AlternateContent>
        <mc:Choice Requires="wps">
          <w:drawing>
            <wp:anchor distT="0" distB="0" distL="114300" distR="114300" simplePos="0" relativeHeight="251662336" behindDoc="0" locked="0" layoutInCell="1" allowOverlap="1">
              <wp:simplePos x="0" y="0"/>
              <wp:positionH relativeFrom="page">
                <wp:posOffset>719455</wp:posOffset>
              </wp:positionH>
              <wp:positionV relativeFrom="page">
                <wp:posOffset>6482080</wp:posOffset>
              </wp:positionV>
              <wp:extent cx="1828800" cy="1828800"/>
              <wp:effectExtent l="0" t="0" r="0" b="5080"/>
              <wp:wrapNone/>
              <wp:docPr id="109526168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314DE23">
                          <w:pPr>
                            <w:pStyle w:val="54"/>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510.4pt;height:144pt;width:144pt;mso-position-horizontal-relative:page;mso-position-vertical-relative:page;mso-wrap-style:none;z-index:251662336;v-text-anchor:bottom;mso-width-relative:page;mso-height-relative:page;" filled="f" stroked="f" coordsize="21600,21600" o:gfxdata="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AVrK7ZAAAADQEAAA8AAAAAAAAAAQAgAAAAIgAA&#10;AGRycy9kb3ducmV2LnhtbFBLAQIUABQAAAAIAIdO4kBbPOUFQAIAAHAEAAAOAAAAAAAAAAEAIAAA&#10;ACgBAABkcnMvZTJvRG9jLnhtbFBLBQYAAAAABgAGAFkBAADaBQAAAAA=&#10;">
              <v:fill on="f" focussize="0,0"/>
              <v:stroke on="f" weight="0.5pt"/>
              <v:imagedata o:title=""/>
              <o:lock v:ext="edit" aspectratio="f"/>
              <v:textbox style="layout-flow:vertical-ideographic;mso-fit-shape-to-text:t;">
                <w:txbxContent>
                  <w:p w14:paraId="7314DE23">
                    <w:pPr>
                      <w:pStyle w:val="54"/>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3BBDA">
    <w:pPr>
      <w:pStyle w:val="18"/>
    </w:pPr>
    <w:r>
      <mc:AlternateContent>
        <mc:Choice Requires="wps">
          <w:drawing>
            <wp:anchor distT="0" distB="0" distL="114300" distR="114300" simplePos="0" relativeHeight="251664384"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4657897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46C76AC4">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68pt;height:144pt;width:144pt;mso-position-horizontal-relative:page;mso-position-vertical-relative:page;mso-wrap-style:none;z-index:251664384;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BiE5dYAAAALAQAADwAAAAAAAAABACAAAAAiAAAAZHJzL2Rvd25yZXYu&#10;eG1sUEsBAhQAFAAAAAgAh07iQF9spHk2AgAAXwQAAA4AAAAAAAAAAQAgAAAAJQEAAGRycy9lMm9E&#10;b2MueG1sUEsFBgAAAAAGAAYAWQEAAM0FAAAAAA==&#10;">
              <v:fill on="f" focussize="0,0"/>
              <v:stroke on="f" weight="0.5pt"/>
              <v:imagedata o:title=""/>
              <o:lock v:ext="edit" aspectratio="f"/>
              <v:textbox inset="0mm,0mm,0mm,0mm" style="layout-flow:vertical-ideographic;mso-fit-shape-to-text:t;">
                <w:txbxContent>
                  <w:p w14:paraId="46C76AC4">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E3D8B3">
    <w:pPr>
      <w:pStyle w:val="54"/>
    </w:pPr>
    <w:r>
      <w:fldChar w:fldCharType="begin"/>
    </w:r>
    <w:r>
      <w:instrText xml:space="preserve">PAGE   \* MERGEFORMAT</w:instrText>
    </w:r>
    <w:r>
      <w:fldChar w:fldCharType="separate"/>
    </w:r>
    <w:r>
      <w:rPr>
        <w:lang w:val="zh-CN"/>
      </w:rPr>
      <w:t>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07358B">
    <w:pPr>
      <w:pStyle w:val="18"/>
    </w:pPr>
    <w:r>
      <w:fldChar w:fldCharType="begin"/>
    </w:r>
    <w:r>
      <w:instrText xml:space="preserve">PAGE   \* MERGEFORMAT</w:instrText>
    </w:r>
    <w:r>
      <w:fldChar w:fldCharType="separate"/>
    </w:r>
    <w:r>
      <w:rPr>
        <w:lang w:val="zh-CN"/>
      </w:rPr>
      <w:t>2</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E5CDE">
    <w:pPr>
      <w:pStyle w:val="54"/>
    </w:pPr>
    <w:r>
      <mc:AlternateContent>
        <mc:Choice Requires="wps">
          <w:drawing>
            <wp:anchor distT="0" distB="0" distL="114300" distR="114300" simplePos="0" relativeHeight="251666432" behindDoc="0" locked="0" layoutInCell="1" allowOverlap="1">
              <wp:simplePos x="0" y="0"/>
              <wp:positionH relativeFrom="page">
                <wp:posOffset>719455</wp:posOffset>
              </wp:positionH>
              <wp:positionV relativeFrom="page">
                <wp:posOffset>6482080</wp:posOffset>
              </wp:positionV>
              <wp:extent cx="1828800" cy="1828800"/>
              <wp:effectExtent l="0" t="0" r="0" b="5080"/>
              <wp:wrapNone/>
              <wp:docPr id="2232176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7A63A47">
                          <w:pPr>
                            <w:pStyle w:val="54"/>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510.4pt;height:144pt;width:144pt;mso-position-horizontal-relative:page;mso-position-vertical-relative:page;mso-wrap-style:none;z-index:251666432;v-text-anchor:bottom;mso-width-relative:page;mso-height-relative:page;" filled="f" stroked="f" coordsize="21600,21600" o:gfxdata="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&#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AFayu2QAAAA0BAAAPAAAAAAAAAAEAIAAAACIAAABk&#10;cnMvZG93bnJldi54bWxQSwECFAAUAAAACACHTuJA9CXeKD4CAABuBAAADgAAAAAAAAABACAAAAAo&#10;AQAAZHJzL2Uyb0RvYy54bWxQSwUGAAAAAAYABgBZAQAA2AUAAAAA&#10;">
              <v:fill on="f" focussize="0,0"/>
              <v:stroke on="f" weight="0.5pt"/>
              <v:imagedata o:title=""/>
              <o:lock v:ext="edit" aspectratio="f"/>
              <v:textbox style="layout-flow:vertical-ideographic;mso-fit-shape-to-text:t;">
                <w:txbxContent>
                  <w:p w14:paraId="37A63A47">
                    <w:pPr>
                      <w:pStyle w:val="54"/>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9290A">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29210">
    <w:pPr>
      <w:pStyle w:val="63"/>
    </w:pPr>
    <w:r>
      <mc:AlternateContent>
        <mc:Choice Requires="wps">
          <w:drawing>
            <wp:anchor distT="0" distB="0" distL="114300" distR="114300" simplePos="0" relativeHeight="251665408" behindDoc="0" locked="0" layoutInCell="1" allowOverlap="1">
              <wp:simplePos x="0" y="0"/>
              <wp:positionH relativeFrom="page">
                <wp:posOffset>9539605</wp:posOffset>
              </wp:positionH>
              <wp:positionV relativeFrom="page">
                <wp:posOffset>5227955</wp:posOffset>
              </wp:positionV>
              <wp:extent cx="1828800" cy="1828800"/>
              <wp:effectExtent l="0" t="0" r="0" b="0"/>
              <wp:wrapNone/>
              <wp:docPr id="47835510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4299B1D6">
                          <w:pPr>
                            <w:pStyle w:val="63"/>
                          </w:pPr>
                          <w:r>
                            <w:fldChar w:fldCharType="begin"/>
                          </w:r>
                          <w:r>
                            <w:instrText xml:space="preserve"> STYLEREF  标准文件_文件编号  \* MERGEFORMAT </w:instrText>
                          </w:r>
                          <w:r>
                            <w:fldChar w:fldCharType="separate"/>
                          </w:r>
                          <w:r>
                            <w:t>DB XX/T 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751.15pt;margin-top:411.65pt;height:144pt;width:144pt;mso-position-horizontal-relative:page;mso-position-vertical-relative:page;mso-wrap-style:none;z-index:251665408;v-text-anchor:bottom;mso-width-relative:page;mso-height-relative:page;" filled="f" stroked="f" coordsize="21600,21600" o:gfxdata="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Yq1dAdsAAAAOAQAADwAAAAAAAAABACAAAAAi&#10;AAAAZHJzL2Rvd25yZXYueG1sUEsBAhQAFAAAAAgAh07iQJ/+EmZAAgAAbwQAAA4AAAAAAAAAAQAg&#10;AAAAKgEAAGRycy9lMm9Eb2MueG1sUEsFBgAAAAAGAAYAWQEAANwFAAAAAA==&#10;">
              <v:fill on="f" focussize="0,0"/>
              <v:stroke on="f" weight="0.5pt"/>
              <v:imagedata o:title=""/>
              <o:lock v:ext="edit" aspectratio="f"/>
              <v:textbox style="layout-flow:vertical-ideographic;mso-fit-shape-to-text:t;">
                <w:txbxContent>
                  <w:p w14:paraId="4299B1D6">
                    <w:pPr>
                      <w:pStyle w:val="63"/>
                    </w:pPr>
                    <w:r>
                      <w:fldChar w:fldCharType="begin"/>
                    </w:r>
                    <w:r>
                      <w:instrText xml:space="preserve"> STYLEREF  标准文件_文件编号  \* MERGEFORMAT </w:instrText>
                    </w:r>
                    <w:r>
                      <w:fldChar w:fldCharType="separate"/>
                    </w:r>
                    <w:r>
                      <w:t>DB XX/T XXXX—XXXX</w:t>
                    </w:r>
                    <w:r>
                      <w:fldChar w:fldCharType="end"/>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3570B9">
    <w:pPr>
      <w:pStyle w:val="64"/>
    </w:pPr>
    <w:r>
      <mc:AlternateContent>
        <mc:Choice Requires="wps">
          <w:drawing>
            <wp:anchor distT="0" distB="0" distL="114300" distR="114300" simplePos="0" relativeHeight="251667456" behindDoc="0" locked="0" layoutInCell="1" allowOverlap="1">
              <wp:simplePos x="0" y="0"/>
              <wp:positionH relativeFrom="page">
                <wp:posOffset>9719945</wp:posOffset>
              </wp:positionH>
              <wp:positionV relativeFrom="page">
                <wp:posOffset>899795</wp:posOffset>
              </wp:positionV>
              <wp:extent cx="1828800" cy="1828800"/>
              <wp:effectExtent l="0" t="0" r="5080" b="12065"/>
              <wp:wrapNone/>
              <wp:docPr id="102235615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AB337E0">
                          <w:pPr>
                            <w:pStyle w:val="64"/>
                          </w:pPr>
                          <w:r>
                            <w:fldChar w:fldCharType="begin"/>
                          </w:r>
                          <w:r>
                            <w:instrText xml:space="preserve"> STYLEREF  标准文件_文件编号 \* MERGEFORMAT </w:instrText>
                          </w:r>
                          <w:r>
                            <w:fldChar w:fldCharType="separate"/>
                          </w:r>
                          <w:r>
                            <w:t>DB XX/T 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765.35pt;margin-top:70.85pt;height:144pt;width:144pt;mso-position-horizontal-relative:page;mso-position-vertical-relative:page;mso-wrap-style:none;z-index:251667456;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SyLsc2QAAAA0BAAAPAAAAAAAAAAEAIAAAACIAAABkcnMvZG93bnJl&#10;di54bWxQSwECFAAUAAAACACHTuJA+bsJyjUCAABgBAAADgAAAAAAAAABACAAAAAoAQAAZHJzL2Uy&#10;b0RvYy54bWxQSwUGAAAAAAYABgBZAQAAzwUAAAAA&#10;">
              <v:fill on="f" focussize="0,0"/>
              <v:stroke on="f" weight="0.5pt"/>
              <v:imagedata o:title=""/>
              <o:lock v:ext="edit" aspectratio="f"/>
              <v:textbox inset="0mm,0mm,0mm,0mm" style="layout-flow:vertical-ideographic;mso-fit-shape-to-text:t;">
                <w:txbxContent>
                  <w:p w14:paraId="7AB337E0">
                    <w:pPr>
                      <w:pStyle w:val="64"/>
                    </w:pPr>
                    <w:r>
                      <w:fldChar w:fldCharType="begin"/>
                    </w:r>
                    <w:r>
                      <w:instrText xml:space="preserve"> STYLEREF  标准文件_文件编号 \* MERGEFORMAT </w:instrText>
                    </w:r>
                    <w:r>
                      <w:fldChar w:fldCharType="separate"/>
                    </w:r>
                    <w:r>
                      <w:t>DB XX/T XXXX—XXXX</w:t>
                    </w:r>
                    <w:r>
                      <w:fldChar w:fldCharType="end"/>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BA860">
    <w:pPr>
      <w:pStyle w:val="63"/>
    </w:pPr>
    <w:r>
      <w:fldChar w:fldCharType="begin"/>
    </w:r>
    <w:r>
      <w:instrText xml:space="preserve"> STYLEREF  标准文件_文件编号  \* MERGEFORMAT </w:instrText>
    </w:r>
    <w:r>
      <w:fldChar w:fldCharType="separate"/>
    </w:r>
    <w:r>
      <w:t>DB XX/T 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D15E4C">
    <w:pPr>
      <w:pStyle w:val="19"/>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XX/T 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ACEB1">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F36C7">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30DBD8">
    <w:pPr>
      <w:pStyle w:val="63"/>
    </w:pPr>
    <w:r>
      <w:fldChar w:fldCharType="begin"/>
    </w:r>
    <w:r>
      <w:instrText xml:space="preserve"> STYLEREF  标准文件_文件编号  \* MERGEFORMAT </w:instrText>
    </w:r>
    <w:r>
      <w:fldChar w:fldCharType="separate"/>
    </w:r>
    <w:r>
      <w:t>DB XX/T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7FA87E">
    <w:pPr>
      <w:pStyle w:val="19"/>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XX/T 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D65113">
    <w:pPr>
      <w:pStyle w:val="63"/>
    </w:pPr>
    <w:r>
      <mc:AlternateContent>
        <mc:Choice Requires="wps">
          <w:drawing>
            <wp:anchor distT="0" distB="0" distL="114300" distR="114300" simplePos="0" relativeHeight="251661312" behindDoc="0" locked="0" layoutInCell="1" allowOverlap="1">
              <wp:simplePos x="0" y="0"/>
              <wp:positionH relativeFrom="page">
                <wp:posOffset>9539605</wp:posOffset>
              </wp:positionH>
              <wp:positionV relativeFrom="page">
                <wp:posOffset>5237480</wp:posOffset>
              </wp:positionV>
              <wp:extent cx="1828800" cy="1828800"/>
              <wp:effectExtent l="0" t="0" r="0" b="0"/>
              <wp:wrapNone/>
              <wp:docPr id="1743357615"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9053810">
                          <w:pPr>
                            <w:pStyle w:val="63"/>
                          </w:pPr>
                          <w:r>
                            <w:fldChar w:fldCharType="begin"/>
                          </w:r>
                          <w:r>
                            <w:instrText xml:space="preserve"> STYLEREF  标准文件_文件编号  \* MERGEFORMAT </w:instrText>
                          </w:r>
                          <w:r>
                            <w:fldChar w:fldCharType="separate"/>
                          </w:r>
                          <w:r>
                            <w:t>DB XX/T 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751.15pt;margin-top:412.4pt;height:144pt;width:144pt;mso-position-horizontal-relative:page;mso-position-vertical-relative:page;mso-wrap-style:none;z-index:251661312;v-text-anchor:bottom;mso-width-relative:page;mso-height-relative:page;" filled="f" stroked="f" coordsize="21600,21600" o:gfxdata="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jw3403AAAAA4BAAAPAAAAAAAAAAEAIAAA&#10;ACIAAABkcnMvZG93bnJldi54bWxQSwECFAAUAAAACACHTuJAdsUOE0ECAABwBAAADgAAAAAAAAAB&#10;ACAAAAArAQAAZHJzL2Uyb0RvYy54bWxQSwUGAAAAAAYABgBZAQAA3gUAAAAA&#10;">
              <v:fill on="f" focussize="0,0"/>
              <v:stroke on="f" weight="0.5pt"/>
              <v:imagedata o:title=""/>
              <o:lock v:ext="edit" aspectratio="f"/>
              <v:textbox style="layout-flow:vertical-ideographic;mso-fit-shape-to-text:t;">
                <w:txbxContent>
                  <w:p w14:paraId="79053810">
                    <w:pPr>
                      <w:pStyle w:val="63"/>
                    </w:pPr>
                    <w:r>
                      <w:fldChar w:fldCharType="begin"/>
                    </w:r>
                    <w:r>
                      <w:instrText xml:space="preserve"> STYLEREF  标准文件_文件编号  \* MERGEFORMAT </w:instrText>
                    </w:r>
                    <w:r>
                      <w:fldChar w:fldCharType="separate"/>
                    </w:r>
                    <w:r>
                      <w:t>DB XX/T XXXX—XXXX</w:t>
                    </w:r>
                    <w:r>
                      <w:fldChar w:fldCharType="end"/>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0338B">
    <w:pPr>
      <w:pStyle w:val="64"/>
    </w:pPr>
    <w:r>
      <mc:AlternateContent>
        <mc:Choice Requires="wps">
          <w:drawing>
            <wp:anchor distT="0" distB="0" distL="114300" distR="114300" simplePos="0" relativeHeight="251663360" behindDoc="0" locked="0" layoutInCell="1" allowOverlap="1">
              <wp:simplePos x="0" y="0"/>
              <wp:positionH relativeFrom="page">
                <wp:posOffset>9719945</wp:posOffset>
              </wp:positionH>
              <wp:positionV relativeFrom="page">
                <wp:posOffset>899795</wp:posOffset>
              </wp:positionV>
              <wp:extent cx="1828800" cy="1828800"/>
              <wp:effectExtent l="0" t="0" r="5080" b="12065"/>
              <wp:wrapNone/>
              <wp:docPr id="132677316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ADA57E6">
                          <w:pPr>
                            <w:pStyle w:val="64"/>
                          </w:pPr>
                          <w:r>
                            <w:fldChar w:fldCharType="begin"/>
                          </w:r>
                          <w:r>
                            <w:instrText xml:space="preserve"> STYLEREF  标准文件_文件编号 \* MERGEFORMAT </w:instrText>
                          </w:r>
                          <w:r>
                            <w:fldChar w:fldCharType="separate"/>
                          </w:r>
                          <w:r>
                            <w:t>DB XX/T 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765.35pt;margin-top:70.85pt;height:144pt;width:144pt;mso-position-horizontal-relative:page;mso-position-vertical-relative:page;mso-wrap-style:none;z-index:251663360;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Esi7HNkAAAANAQAADwAAAAAAAAABACAAAAAiAAAAZHJzL2Rvd25y&#10;ZXYueG1sUEsBAhQAFAAAAAgAh07iQOCE4q02AgAAYAQAAA4AAAAAAAAAAQAgAAAAKAEAAGRycy9l&#10;Mm9Eb2MueG1sUEsFBgAAAAAGAAYAWQEAANAFAAAAAA==&#10;">
              <v:fill on="f" focussize="0,0"/>
              <v:stroke on="f" weight="0.5pt"/>
              <v:imagedata o:title=""/>
              <o:lock v:ext="edit" aspectratio="f"/>
              <v:textbox inset="0mm,0mm,0mm,0mm" style="layout-flow:vertical-ideographic;mso-fit-shape-to-text:t;">
                <w:txbxContent>
                  <w:p w14:paraId="1ADA57E6">
                    <w:pPr>
                      <w:pStyle w:val="64"/>
                    </w:pPr>
                    <w:r>
                      <w:fldChar w:fldCharType="begin"/>
                    </w:r>
                    <w:r>
                      <w:instrText xml:space="preserve"> STYLEREF  标准文件_文件编号 \* MERGEFORMAT </w:instrText>
                    </w:r>
                    <w:r>
                      <w:fldChar w:fldCharType="separate"/>
                    </w:r>
                    <w:r>
                      <w:t>DB XX/T XXXX—XXXX</w:t>
                    </w:r>
                    <w:r>
                      <w:fldChar w:fldCharType="end"/>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E7B3F">
    <w:pPr>
      <w:pStyle w:val="63"/>
    </w:pPr>
    <w:r>
      <w:fldChar w:fldCharType="begin"/>
    </w:r>
    <w:r>
      <w:instrText xml:space="preserve"> STYLEREF  标准文件_文件编号  \* MERGEFORMAT </w:instrText>
    </w:r>
    <w:r>
      <w:fldChar w:fldCharType="separate"/>
    </w:r>
    <w:r>
      <w:t>DB XX/T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81AAF">
    <w:pPr>
      <w:pStyle w:val="19"/>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XX/T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6"/>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8E27636"/>
    <w:multiLevelType w:val="multilevel"/>
    <w:tmpl w:val="08E27636"/>
    <w:lvl w:ilvl="0" w:tentative="0">
      <w:start w:val="1"/>
      <w:numFmt w:val="decimal"/>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AB47221"/>
    <w:multiLevelType w:val="multilevel"/>
    <w:tmpl w:val="2AB47221"/>
    <w:lvl w:ilvl="0" w:tentative="0">
      <w:start w:val="1"/>
      <w:numFmt w:val="decimal"/>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2">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44C50F90"/>
    <w:multiLevelType w:val="multilevel"/>
    <w:tmpl w:val="44C50F90"/>
    <w:lvl w:ilvl="0" w:tentative="0">
      <w:start w:val="1"/>
      <w:numFmt w:val="lowerLetter"/>
      <w:pStyle w:val="176"/>
      <w:lvlText w:val="%1)"/>
      <w:lvlJc w:val="left"/>
      <w:pPr>
        <w:tabs>
          <w:tab w:val="left" w:pos="851"/>
        </w:tabs>
        <w:ind w:left="851"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6">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9">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4">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5">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0"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7">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0" w:firstLine="0"/>
      </w:pPr>
      <w:rPr>
        <w:rFonts w:hint="eastAsia" w:ascii="黑体" w:eastAsia="黑体"/>
        <w:b w:val="0"/>
        <w:i w:val="0"/>
        <w:sz w:val="21"/>
      </w:rPr>
    </w:lvl>
    <w:lvl w:ilvl="2" w:tentative="0">
      <w:start w:val="1"/>
      <w:numFmt w:val="decimal"/>
      <w:pStyle w:val="10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0"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2">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3">
    <w:nsid w:val="7E137901"/>
    <w:multiLevelType w:val="multilevel"/>
    <w:tmpl w:val="7E137901"/>
    <w:lvl w:ilvl="0" w:tentative="0">
      <w:start w:val="1"/>
      <w:numFmt w:val="decimal"/>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num w:numId="1">
    <w:abstractNumId w:val="0"/>
  </w:num>
  <w:num w:numId="2">
    <w:abstractNumId w:val="29"/>
  </w:num>
  <w:num w:numId="3">
    <w:abstractNumId w:val="6"/>
  </w:num>
  <w:num w:numId="4">
    <w:abstractNumId w:val="25"/>
  </w:num>
  <w:num w:numId="5">
    <w:abstractNumId w:val="20"/>
  </w:num>
  <w:num w:numId="6">
    <w:abstractNumId w:val="15"/>
  </w:num>
  <w:num w:numId="7">
    <w:abstractNumId w:val="9"/>
  </w:num>
  <w:num w:numId="8">
    <w:abstractNumId w:val="3"/>
  </w:num>
  <w:num w:numId="9">
    <w:abstractNumId w:val="10"/>
  </w:num>
  <w:num w:numId="10">
    <w:abstractNumId w:val="18"/>
  </w:num>
  <w:num w:numId="11">
    <w:abstractNumId w:val="27"/>
  </w:num>
  <w:num w:numId="12">
    <w:abstractNumId w:val="13"/>
  </w:num>
  <w:num w:numId="13">
    <w:abstractNumId w:val="14"/>
  </w:num>
  <w:num w:numId="14">
    <w:abstractNumId w:val="8"/>
  </w:num>
  <w:num w:numId="15">
    <w:abstractNumId w:val="21"/>
  </w:num>
  <w:num w:numId="16">
    <w:abstractNumId w:val="23"/>
  </w:num>
  <w:num w:numId="17">
    <w:abstractNumId w:val="19"/>
  </w:num>
  <w:num w:numId="18">
    <w:abstractNumId w:val="31"/>
  </w:num>
  <w:num w:numId="19">
    <w:abstractNumId w:val="17"/>
  </w:num>
  <w:num w:numId="20">
    <w:abstractNumId w:val="1"/>
  </w:num>
  <w:num w:numId="21">
    <w:abstractNumId w:val="12"/>
  </w:num>
  <w:num w:numId="22">
    <w:abstractNumId w:val="32"/>
  </w:num>
  <w:num w:numId="23">
    <w:abstractNumId w:val="22"/>
  </w:num>
  <w:num w:numId="24">
    <w:abstractNumId w:val="7"/>
  </w:num>
  <w:num w:numId="25">
    <w:abstractNumId w:val="28"/>
  </w:num>
  <w:num w:numId="26">
    <w:abstractNumId w:val="30"/>
  </w:num>
  <w:num w:numId="27">
    <w:abstractNumId w:val="2"/>
  </w:num>
  <w:num w:numId="28">
    <w:abstractNumId w:val="5"/>
  </w:num>
  <w:num w:numId="29">
    <w:abstractNumId w:val="16"/>
  </w:num>
  <w:num w:numId="30">
    <w:abstractNumId w:val="26"/>
  </w:num>
  <w:num w:numId="31">
    <w:abstractNumId w:val="24"/>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3"/>
  </w:num>
  <w:num w:numId="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attachedTemplate r:id="rId1"/>
  <w:documentProtection w:edit="forms" w:enforcement="1" w:cryptProviderType="rsaAES" w:cryptAlgorithmClass="hash" w:cryptAlgorithmType="typeAny" w:cryptAlgorithmSid="14" w:cryptSpinCount="100000" w:hash="beA4iMWe24SmCQXV0RC7i5CJsmfpc/eCvbMJzcc8wrPekH+1lA08HIMotYmkfoJ0Fo2inc/1gF0kWY9Dc48RXA==" w:salt="zBfFU4WBwD6G2ZH4KtxTOw=="/>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VmNDNkOWUxODQ5YzRjYzI2Mjk0ZTQ4NGE4MDc3ZDUifQ=="/>
  </w:docVars>
  <w:rsids>
    <w:rsidRoot w:val="008B2AD6"/>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36F5D"/>
    <w:rsid w:val="00041DE7"/>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51DF"/>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326"/>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03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6D7"/>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5DB0"/>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621F"/>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39C6"/>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16F77"/>
    <w:rsid w:val="004316C7"/>
    <w:rsid w:val="00432DAA"/>
    <w:rsid w:val="00434305"/>
    <w:rsid w:val="00435DF7"/>
    <w:rsid w:val="0044083F"/>
    <w:rsid w:val="00441AE7"/>
    <w:rsid w:val="00445574"/>
    <w:rsid w:val="004467FB"/>
    <w:rsid w:val="00452D6B"/>
    <w:rsid w:val="00453CD7"/>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072"/>
    <w:rsid w:val="00573D9E"/>
    <w:rsid w:val="005741CC"/>
    <w:rsid w:val="005801E3"/>
    <w:rsid w:val="00581802"/>
    <w:rsid w:val="005836A8"/>
    <w:rsid w:val="0058409C"/>
    <w:rsid w:val="00584262"/>
    <w:rsid w:val="00586630"/>
    <w:rsid w:val="00587ADD"/>
    <w:rsid w:val="00591627"/>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6F9"/>
    <w:rsid w:val="00604784"/>
    <w:rsid w:val="00606419"/>
    <w:rsid w:val="00607D29"/>
    <w:rsid w:val="00612952"/>
    <w:rsid w:val="00614CC1"/>
    <w:rsid w:val="00615A9D"/>
    <w:rsid w:val="00617387"/>
    <w:rsid w:val="006205D6"/>
    <w:rsid w:val="006252D8"/>
    <w:rsid w:val="006259BC"/>
    <w:rsid w:val="0062636B"/>
    <w:rsid w:val="00632182"/>
    <w:rsid w:val="00632230"/>
    <w:rsid w:val="00632AE0"/>
    <w:rsid w:val="00633C17"/>
    <w:rsid w:val="00634D9E"/>
    <w:rsid w:val="00636E3E"/>
    <w:rsid w:val="006379F7"/>
    <w:rsid w:val="00637E4D"/>
    <w:rsid w:val="00640620"/>
    <w:rsid w:val="00641A1F"/>
    <w:rsid w:val="00645904"/>
    <w:rsid w:val="00645FB6"/>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47E1F"/>
    <w:rsid w:val="007501A8"/>
    <w:rsid w:val="00750D61"/>
    <w:rsid w:val="00750EE1"/>
    <w:rsid w:val="00752B4D"/>
    <w:rsid w:val="0075344D"/>
    <w:rsid w:val="00753BDA"/>
    <w:rsid w:val="00755402"/>
    <w:rsid w:val="00756B26"/>
    <w:rsid w:val="00756EDF"/>
    <w:rsid w:val="007600E3"/>
    <w:rsid w:val="00765C43"/>
    <w:rsid w:val="00765EFB"/>
    <w:rsid w:val="007671CA"/>
    <w:rsid w:val="00767C61"/>
    <w:rsid w:val="0077008A"/>
    <w:rsid w:val="0077010F"/>
    <w:rsid w:val="00773258"/>
    <w:rsid w:val="00773C1F"/>
    <w:rsid w:val="00774DA4"/>
    <w:rsid w:val="00776599"/>
    <w:rsid w:val="0078114B"/>
    <w:rsid w:val="00781DD2"/>
    <w:rsid w:val="00783ECF"/>
    <w:rsid w:val="0078413A"/>
    <w:rsid w:val="007959E8"/>
    <w:rsid w:val="00795E9C"/>
    <w:rsid w:val="007A0521"/>
    <w:rsid w:val="007A11A3"/>
    <w:rsid w:val="007A2E12"/>
    <w:rsid w:val="007A3475"/>
    <w:rsid w:val="007A41C8"/>
    <w:rsid w:val="007A54CE"/>
    <w:rsid w:val="007A6FD9"/>
    <w:rsid w:val="007A7FFA"/>
    <w:rsid w:val="007B04EB"/>
    <w:rsid w:val="007B0D4F"/>
    <w:rsid w:val="007B25F8"/>
    <w:rsid w:val="007B5A3D"/>
    <w:rsid w:val="007B5B95"/>
    <w:rsid w:val="007B68EA"/>
    <w:rsid w:val="007B7453"/>
    <w:rsid w:val="007C1E8B"/>
    <w:rsid w:val="007C2D89"/>
    <w:rsid w:val="007C4593"/>
    <w:rsid w:val="007C5309"/>
    <w:rsid w:val="007C6069"/>
    <w:rsid w:val="007D06C4"/>
    <w:rsid w:val="007D1352"/>
    <w:rsid w:val="007D2508"/>
    <w:rsid w:val="007D346A"/>
    <w:rsid w:val="007D4B28"/>
    <w:rsid w:val="007D6518"/>
    <w:rsid w:val="007D76BD"/>
    <w:rsid w:val="007E0BF1"/>
    <w:rsid w:val="007E3BA9"/>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2AD6"/>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54A"/>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41A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1885"/>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B6B73"/>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48E4"/>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5FF"/>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65C0"/>
    <w:rsid w:val="00BA7C9A"/>
    <w:rsid w:val="00BB203B"/>
    <w:rsid w:val="00BB594E"/>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46426"/>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0D0"/>
    <w:rsid w:val="00C92D03"/>
    <w:rsid w:val="00C9319C"/>
    <w:rsid w:val="00C9435D"/>
    <w:rsid w:val="00C94DF2"/>
    <w:rsid w:val="00C96741"/>
    <w:rsid w:val="00CA2D1B"/>
    <w:rsid w:val="00CA375D"/>
    <w:rsid w:val="00CA554D"/>
    <w:rsid w:val="00CA662A"/>
    <w:rsid w:val="00CA7AFD"/>
    <w:rsid w:val="00CA7C3C"/>
    <w:rsid w:val="00CB0189"/>
    <w:rsid w:val="00CB0BA2"/>
    <w:rsid w:val="00CB1A42"/>
    <w:rsid w:val="00CB1B0C"/>
    <w:rsid w:val="00CB2C0B"/>
    <w:rsid w:val="00CB517D"/>
    <w:rsid w:val="00CC038D"/>
    <w:rsid w:val="00CC08DB"/>
    <w:rsid w:val="00CC3388"/>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495B"/>
    <w:rsid w:val="00D06AB1"/>
    <w:rsid w:val="00D072ED"/>
    <w:rsid w:val="00D07A16"/>
    <w:rsid w:val="00D1067E"/>
    <w:rsid w:val="00D10F50"/>
    <w:rsid w:val="00D10FAC"/>
    <w:rsid w:val="00D11272"/>
    <w:rsid w:val="00D11671"/>
    <w:rsid w:val="00D126F5"/>
    <w:rsid w:val="00D1489E"/>
    <w:rsid w:val="00D20737"/>
    <w:rsid w:val="00D21E81"/>
    <w:rsid w:val="00D223DE"/>
    <w:rsid w:val="00D258E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52923"/>
    <w:rsid w:val="00D54F35"/>
    <w:rsid w:val="00D66846"/>
    <w:rsid w:val="00D675FB"/>
    <w:rsid w:val="00D71F25"/>
    <w:rsid w:val="00D72A9C"/>
    <w:rsid w:val="00D77031"/>
    <w:rsid w:val="00D829BC"/>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576"/>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33AF"/>
    <w:rsid w:val="00E44A83"/>
    <w:rsid w:val="00E44B70"/>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1E24"/>
    <w:rsid w:val="00E74C54"/>
    <w:rsid w:val="00E77A03"/>
    <w:rsid w:val="00E822E8"/>
    <w:rsid w:val="00E82554"/>
    <w:rsid w:val="00E82606"/>
    <w:rsid w:val="00E846C8"/>
    <w:rsid w:val="00E84957"/>
    <w:rsid w:val="00E84A55"/>
    <w:rsid w:val="00E85BFF"/>
    <w:rsid w:val="00E90391"/>
    <w:rsid w:val="00E906C2"/>
    <w:rsid w:val="00E9311F"/>
    <w:rsid w:val="00E934D1"/>
    <w:rsid w:val="00E94634"/>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2EAD"/>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2CA7"/>
    <w:rsid w:val="00F06D37"/>
    <w:rsid w:val="00F07B9D"/>
    <w:rsid w:val="00F11586"/>
    <w:rsid w:val="00F1183B"/>
    <w:rsid w:val="00F11C9F"/>
    <w:rsid w:val="00F12263"/>
    <w:rsid w:val="00F1409D"/>
    <w:rsid w:val="00F14214"/>
    <w:rsid w:val="00F157A9"/>
    <w:rsid w:val="00F25BB6"/>
    <w:rsid w:val="00F26B7E"/>
    <w:rsid w:val="00F27A3B"/>
    <w:rsid w:val="00F33817"/>
    <w:rsid w:val="00F35C03"/>
    <w:rsid w:val="00F420D5"/>
    <w:rsid w:val="00F430B5"/>
    <w:rsid w:val="00F451EA"/>
    <w:rsid w:val="00F45447"/>
    <w:rsid w:val="00F456C6"/>
    <w:rsid w:val="00F4577B"/>
    <w:rsid w:val="00F46496"/>
    <w:rsid w:val="00F474D0"/>
    <w:rsid w:val="00F50179"/>
    <w:rsid w:val="00F515EE"/>
    <w:rsid w:val="00F56511"/>
    <w:rsid w:val="00F616D2"/>
    <w:rsid w:val="00F6194E"/>
    <w:rsid w:val="00F623AC"/>
    <w:rsid w:val="00F632C9"/>
    <w:rsid w:val="00F6412A"/>
    <w:rsid w:val="00F65893"/>
    <w:rsid w:val="00F66A4A"/>
    <w:rsid w:val="00F71E22"/>
    <w:rsid w:val="00F72142"/>
    <w:rsid w:val="00F72AE7"/>
    <w:rsid w:val="00F80736"/>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79E"/>
    <w:rsid w:val="00FF7CE4"/>
    <w:rsid w:val="00FF7E39"/>
    <w:rsid w:val="0B1665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nhideWhenUsed="0" w:uiPriority="0" w:semiHidden="0" w:name="Normal Indent"/>
    <w:lsdException w:unhideWhenUsed="0" w:uiPriority="0"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uiPriority w:val="39"/>
    <w:pPr>
      <w:tabs>
        <w:tab w:val="right" w:leader="dot" w:pos="9344"/>
      </w:tabs>
      <w:spacing w:line="300" w:lineRule="exact"/>
      <w:ind w:left="1259"/>
    </w:pPr>
    <w:rPr>
      <w:rFonts w:ascii="宋体"/>
    </w:rPr>
  </w:style>
  <w:style w:type="paragraph" w:styleId="12">
    <w:name w:val="Normal Indent"/>
    <w:basedOn w:val="1"/>
    <w:uiPriority w:val="0"/>
    <w:pPr>
      <w:ind w:firstLine="420"/>
    </w:pPr>
  </w:style>
  <w:style w:type="paragraph" w:styleId="13">
    <w:name w:val="Body Text"/>
    <w:basedOn w:val="1"/>
    <w:link w:val="88"/>
    <w:uiPriority w:val="0"/>
    <w:pPr>
      <w:spacing w:after="120"/>
    </w:pPr>
  </w:style>
  <w:style w:type="paragraph" w:styleId="14">
    <w:name w:val="toc 5"/>
    <w:basedOn w:val="1"/>
    <w:next w:val="1"/>
    <w:autoRedefine/>
    <w:unhideWhenUsed/>
    <w:uiPriority w:val="39"/>
    <w:pPr>
      <w:ind w:left="839"/>
    </w:pPr>
    <w:rPr>
      <w:rFonts w:ascii="宋体"/>
    </w:rPr>
  </w:style>
  <w:style w:type="paragraph" w:styleId="15">
    <w:name w:val="toc 3"/>
    <w:basedOn w:val="1"/>
    <w:next w:val="1"/>
    <w:autoRedefine/>
    <w:unhideWhenUsed/>
    <w:uiPriority w:val="39"/>
    <w:pPr>
      <w:spacing w:line="300" w:lineRule="exact"/>
      <w:ind w:left="420"/>
    </w:pPr>
    <w:rPr>
      <w:rFonts w:ascii="宋体"/>
    </w:rPr>
  </w:style>
  <w:style w:type="paragraph" w:styleId="16">
    <w:name w:val="toc 8"/>
    <w:basedOn w:val="1"/>
    <w:next w:val="1"/>
    <w:autoRedefine/>
    <w:unhideWhenUsed/>
    <w:uiPriority w:val="39"/>
    <w:pPr>
      <w:adjustRightInd/>
      <w:spacing w:line="240" w:lineRule="auto"/>
      <w:ind w:left="2940" w:leftChars="1400"/>
    </w:pPr>
    <w:rPr>
      <w:rFonts w:asciiTheme="minorHAnsi" w:hAnsiTheme="minorHAnsi" w:eastAsiaTheme="minorEastAsia" w:cstheme="minorBidi"/>
      <w:szCs w:val="22"/>
      <w14:ligatures w14:val="standardContextual"/>
    </w:rPr>
  </w:style>
  <w:style w:type="paragraph" w:styleId="17">
    <w:name w:val="Balloon Text"/>
    <w:basedOn w:val="1"/>
    <w:link w:val="47"/>
    <w:semiHidden/>
    <w:unhideWhenUsed/>
    <w:uiPriority w:val="99"/>
    <w:rPr>
      <w:sz w:val="18"/>
      <w:szCs w:val="18"/>
    </w:rPr>
  </w:style>
  <w:style w:type="paragraph" w:styleId="18">
    <w:name w:val="footer"/>
    <w:basedOn w:val="1"/>
    <w:link w:val="46"/>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uiPriority w:val="39"/>
    <w:rPr>
      <w:rFonts w:ascii="宋体"/>
    </w:rPr>
  </w:style>
  <w:style w:type="paragraph" w:styleId="21">
    <w:name w:val="toc 4"/>
    <w:basedOn w:val="1"/>
    <w:next w:val="1"/>
    <w:autoRedefine/>
    <w:unhideWhenUsed/>
    <w:uiPriority w:val="39"/>
    <w:pPr>
      <w:tabs>
        <w:tab w:val="right" w:leader="dot" w:pos="9344"/>
      </w:tabs>
      <w:spacing w:line="300" w:lineRule="exact"/>
      <w:ind w:left="629"/>
    </w:pPr>
    <w:rPr>
      <w:rFonts w:ascii="宋体"/>
    </w:rPr>
  </w:style>
  <w:style w:type="paragraph" w:styleId="22">
    <w:name w:val="footnote text"/>
    <w:basedOn w:val="1"/>
    <w:next w:val="1"/>
    <w:link w:val="101"/>
    <w:semiHidden/>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uiPriority w:val="39"/>
    <w:pPr>
      <w:spacing w:line="300" w:lineRule="exact"/>
      <w:ind w:left="1049"/>
    </w:pPr>
    <w:rPr>
      <w:rFonts w:ascii="宋体"/>
    </w:rPr>
  </w:style>
  <w:style w:type="paragraph" w:styleId="24">
    <w:name w:val="table of figures"/>
    <w:basedOn w:val="1"/>
    <w:next w:val="1"/>
    <w:semiHidden/>
    <w:uiPriority w:val="0"/>
    <w:pPr>
      <w:adjustRightInd/>
      <w:spacing w:line="240" w:lineRule="auto"/>
      <w:jc w:val="left"/>
    </w:pPr>
    <w:rPr>
      <w:szCs w:val="24"/>
    </w:rPr>
  </w:style>
  <w:style w:type="paragraph" w:styleId="25">
    <w:name w:val="toc 2"/>
    <w:basedOn w:val="1"/>
    <w:next w:val="1"/>
    <w:autoRedefine/>
    <w:unhideWhenUsed/>
    <w:uiPriority w:val="39"/>
    <w:pPr>
      <w:tabs>
        <w:tab w:val="right" w:leader="dot" w:pos="9344"/>
      </w:tabs>
      <w:spacing w:line="300" w:lineRule="exact"/>
      <w:ind w:left="210"/>
    </w:pPr>
    <w:rPr>
      <w:rFonts w:ascii="宋体"/>
    </w:rPr>
  </w:style>
  <w:style w:type="paragraph" w:styleId="26">
    <w:name w:val="toc 9"/>
    <w:basedOn w:val="1"/>
    <w:next w:val="1"/>
    <w:autoRedefine/>
    <w:unhideWhenUsed/>
    <w:uiPriority w:val="39"/>
    <w:pPr>
      <w:adjustRightInd/>
      <w:spacing w:line="240" w:lineRule="auto"/>
      <w:ind w:left="3360" w:leftChars="1600"/>
    </w:pPr>
    <w:rPr>
      <w:rFonts w:asciiTheme="minorHAnsi" w:hAnsiTheme="minorHAnsi" w:eastAsiaTheme="minorEastAsia" w:cstheme="minorBidi"/>
      <w:szCs w:val="22"/>
      <w14:ligatures w14:val="standardContextual"/>
    </w:rPr>
  </w:style>
  <w:style w:type="paragraph" w:styleId="27">
    <w:name w:val="Title"/>
    <w:basedOn w:val="1"/>
    <w:link w:val="50"/>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uiPriority w:val="0"/>
    <w:rPr>
      <w:rFonts w:ascii="宋体" w:hAnsi="Times New Roman" w:eastAsia="宋体"/>
      <w:sz w:val="18"/>
    </w:rPr>
  </w:style>
  <w:style w:type="character" w:styleId="33">
    <w:name w:val="Emphasis"/>
    <w:qFormat/>
    <w:uiPriority w:val="20"/>
    <w:rPr>
      <w:i/>
      <w:iCs/>
    </w:rPr>
  </w:style>
  <w:style w:type="character" w:styleId="34">
    <w:name w:val="Hyperlink"/>
    <w:uiPriority w:val="99"/>
    <w:rPr>
      <w:rFonts w:ascii="宋体" w:hAnsi="Times New Roman" w:eastAsia="宋体"/>
      <w:color w:val="auto"/>
      <w:spacing w:val="0"/>
      <w:w w:val="100"/>
      <w:position w:val="0"/>
      <w:sz w:val="21"/>
      <w:u w:val="none"/>
      <w:vertAlign w:val="baseline"/>
    </w:rPr>
  </w:style>
  <w:style w:type="character" w:styleId="35">
    <w:name w:val="footnote reference"/>
    <w:semiHidden/>
    <w:uiPriority w:val="0"/>
    <w:rPr>
      <w:rFonts w:ascii="宋体" w:hAnsi="宋体" w:eastAsia="宋体" w:cs="Times New Roman"/>
      <w:spacing w:val="0"/>
      <w:sz w:val="18"/>
      <w:vertAlign w:val="superscript"/>
    </w:rPr>
  </w:style>
  <w:style w:type="character" w:customStyle="1" w:styleId="36">
    <w:name w:val="标题 1 字符"/>
    <w:link w:val="2"/>
    <w:qFormat/>
    <w:uiPriority w:val="0"/>
    <w:rPr>
      <w:b/>
      <w:bCs/>
      <w:kern w:val="44"/>
      <w:sz w:val="44"/>
      <w:szCs w:val="44"/>
    </w:rPr>
  </w:style>
  <w:style w:type="character" w:customStyle="1" w:styleId="37">
    <w:name w:val="标题 2 字符"/>
    <w:link w:val="3"/>
    <w:qFormat/>
    <w:uiPriority w:val="0"/>
    <w:rPr>
      <w:rFonts w:ascii="Arial" w:hAnsi="Arial" w:eastAsia="黑体"/>
      <w:b/>
      <w:bCs/>
      <w:kern w:val="2"/>
      <w:sz w:val="32"/>
      <w:szCs w:val="32"/>
    </w:rPr>
  </w:style>
  <w:style w:type="character" w:customStyle="1" w:styleId="38">
    <w:name w:val="标题 3 字符"/>
    <w:link w:val="4"/>
    <w:qFormat/>
    <w:uiPriority w:val="0"/>
    <w:rPr>
      <w:b/>
      <w:bCs/>
      <w:kern w:val="2"/>
      <w:sz w:val="32"/>
      <w:szCs w:val="32"/>
    </w:rPr>
  </w:style>
  <w:style w:type="character" w:customStyle="1" w:styleId="39">
    <w:name w:val="标题 4 字符"/>
    <w:link w:val="5"/>
    <w:uiPriority w:val="0"/>
    <w:rPr>
      <w:rFonts w:ascii="Arial" w:hAnsi="Arial" w:eastAsia="黑体"/>
      <w:b/>
      <w:bCs/>
      <w:kern w:val="2"/>
      <w:sz w:val="28"/>
      <w:szCs w:val="28"/>
    </w:rPr>
  </w:style>
  <w:style w:type="character" w:customStyle="1" w:styleId="40">
    <w:name w:val="标题 5 字符"/>
    <w:link w:val="6"/>
    <w:uiPriority w:val="0"/>
    <w:rPr>
      <w:b/>
      <w:bCs/>
      <w:kern w:val="2"/>
      <w:sz w:val="28"/>
      <w:szCs w:val="28"/>
    </w:rPr>
  </w:style>
  <w:style w:type="character" w:customStyle="1" w:styleId="41">
    <w:name w:val="标题 6 字符"/>
    <w:link w:val="7"/>
    <w:uiPriority w:val="0"/>
    <w:rPr>
      <w:rFonts w:ascii="Arial" w:hAnsi="Arial" w:eastAsia="黑体"/>
      <w:b/>
      <w:bCs/>
      <w:kern w:val="2"/>
      <w:sz w:val="24"/>
      <w:szCs w:val="24"/>
    </w:rPr>
  </w:style>
  <w:style w:type="character" w:customStyle="1" w:styleId="42">
    <w:name w:val="标题 7 字符"/>
    <w:link w:val="8"/>
    <w:uiPriority w:val="0"/>
    <w:rPr>
      <w:b/>
      <w:bCs/>
      <w:kern w:val="2"/>
      <w:sz w:val="24"/>
      <w:szCs w:val="24"/>
    </w:rPr>
  </w:style>
  <w:style w:type="character" w:customStyle="1" w:styleId="43">
    <w:name w:val="标题 8 字符"/>
    <w:link w:val="9"/>
    <w:uiPriority w:val="0"/>
    <w:rPr>
      <w:rFonts w:ascii="Arial" w:hAnsi="Arial" w:eastAsia="黑体"/>
      <w:kern w:val="2"/>
      <w:sz w:val="24"/>
      <w:szCs w:val="24"/>
    </w:rPr>
  </w:style>
  <w:style w:type="character" w:customStyle="1" w:styleId="44">
    <w:name w:val="标题 9 字符"/>
    <w:link w:val="10"/>
    <w:uiPriority w:val="0"/>
    <w:rPr>
      <w:rFonts w:ascii="Arial" w:hAnsi="Arial" w:eastAsia="黑体"/>
      <w:kern w:val="2"/>
      <w:sz w:val="21"/>
      <w:szCs w:val="21"/>
    </w:rPr>
  </w:style>
  <w:style w:type="character" w:customStyle="1" w:styleId="45">
    <w:name w:val="页眉 字符"/>
    <w:link w:val="19"/>
    <w:qFormat/>
    <w:uiPriority w:val="99"/>
    <w:rPr>
      <w:kern w:val="2"/>
      <w:sz w:val="18"/>
      <w:szCs w:val="18"/>
    </w:rPr>
  </w:style>
  <w:style w:type="character" w:customStyle="1" w:styleId="46">
    <w:name w:val="页脚 字符"/>
    <w:link w:val="18"/>
    <w:uiPriority w:val="99"/>
    <w:rPr>
      <w:rFonts w:ascii="宋体"/>
      <w:kern w:val="2"/>
      <w:sz w:val="18"/>
      <w:szCs w:val="18"/>
    </w:rPr>
  </w:style>
  <w:style w:type="character" w:customStyle="1" w:styleId="47">
    <w:name w:val="批注框文本 字符"/>
    <w:link w:val="17"/>
    <w:semiHidden/>
    <w:uiPriority w:val="99"/>
    <w:rPr>
      <w:kern w:val="2"/>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kern w:val="2"/>
      <w:sz w:val="21"/>
      <w:szCs w:val="21"/>
    </w:rPr>
  </w:style>
  <w:style w:type="character" w:customStyle="1" w:styleId="50">
    <w:name w:val="标题 字符"/>
    <w:link w:val="27"/>
    <w:qFormat/>
    <w:uiPriority w:val="0"/>
    <w:rPr>
      <w:rFonts w:ascii="Arial" w:hAnsi="Arial" w:cs="Arial"/>
      <w:b/>
      <w:bCs/>
      <w:kern w:val="2"/>
      <w:sz w:val="32"/>
      <w:szCs w:val="32"/>
    </w:rPr>
  </w:style>
  <w:style w:type="paragraph" w:customStyle="1" w:styleId="51">
    <w:name w:val="标准标志"/>
    <w:next w:val="1"/>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uiPriority w:val="0"/>
    <w:pPr>
      <w:spacing w:line="310" w:lineRule="exact"/>
      <w:jc w:val="right"/>
    </w:pPr>
    <w:rPr>
      <w:rFonts w:ascii="黑体" w:eastAsia="黑体"/>
      <w:kern w:val="0"/>
      <w:sz w:val="28"/>
    </w:rPr>
  </w:style>
  <w:style w:type="paragraph" w:customStyle="1" w:styleId="71">
    <w:name w:val="标准文件_封面标准分类号"/>
    <w:basedOn w:val="1"/>
    <w:uiPriority w:val="0"/>
    <w:rPr>
      <w:rFonts w:ascii="黑体" w:eastAsia="黑体"/>
      <w:b/>
      <w:kern w:val="0"/>
      <w:sz w:val="28"/>
    </w:rPr>
  </w:style>
  <w:style w:type="paragraph" w:customStyle="1" w:styleId="72">
    <w:name w:val="标准文件_封面标准名称"/>
    <w:basedOn w:val="1"/>
    <w:uiPriority w:val="0"/>
    <w:pPr>
      <w:spacing w:line="240" w:lineRule="auto"/>
      <w:jc w:val="center"/>
    </w:pPr>
    <w:rPr>
      <w:rFonts w:ascii="黑体" w:eastAsia="黑体"/>
      <w:kern w:val="0"/>
      <w:sz w:val="52"/>
    </w:rPr>
  </w:style>
  <w:style w:type="paragraph" w:customStyle="1" w:styleId="73">
    <w:name w:val="标准文件_封面标准英文名称"/>
    <w:basedOn w:val="1"/>
    <w:uiPriority w:val="0"/>
    <w:pPr>
      <w:spacing w:line="240" w:lineRule="auto"/>
      <w:jc w:val="center"/>
    </w:pPr>
    <w:rPr>
      <w:rFonts w:ascii="黑体" w:eastAsia="黑体"/>
      <w:b/>
      <w:sz w:val="28"/>
    </w:rPr>
  </w:style>
  <w:style w:type="paragraph" w:customStyle="1" w:styleId="74">
    <w:name w:val="标准文件_封面发布日期"/>
    <w:basedOn w:val="1"/>
    <w:uiPriority w:val="0"/>
    <w:pPr>
      <w:spacing w:line="310" w:lineRule="exact"/>
    </w:pPr>
    <w:rPr>
      <w:rFonts w:ascii="黑体" w:eastAsia="黑体"/>
      <w:kern w:val="0"/>
      <w:sz w:val="28"/>
    </w:rPr>
  </w:style>
  <w:style w:type="paragraph" w:customStyle="1" w:styleId="75">
    <w:name w:val="标准文件_封面密级"/>
    <w:basedOn w:val="1"/>
    <w:uiPriority w:val="0"/>
    <w:rPr>
      <w:rFonts w:eastAsia="黑体"/>
      <w:sz w:val="32"/>
    </w:rPr>
  </w:style>
  <w:style w:type="paragraph" w:customStyle="1" w:styleId="76">
    <w:name w:val="标准文件_封面实施日期"/>
    <w:basedOn w:val="1"/>
    <w:uiPriority w:val="0"/>
    <w:pPr>
      <w:spacing w:line="310" w:lineRule="exact"/>
      <w:jc w:val="right"/>
    </w:pPr>
    <w:rPr>
      <w:rFonts w:ascii="黑体" w:eastAsia="黑体"/>
      <w:sz w:val="28"/>
    </w:rPr>
  </w:style>
  <w:style w:type="paragraph" w:customStyle="1" w:styleId="77">
    <w:name w:val="标准文件_封面抬头"/>
    <w:basedOn w:val="58"/>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6">
    <w:name w:val="标准文件_附录五级条标题"/>
    <w:next w:val="58"/>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3"/>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3"/>
    <w:uiPriority w:val="0"/>
    <w:rPr>
      <w:kern w:val="2"/>
      <w:sz w:val="21"/>
      <w:szCs w:val="21"/>
    </w:rPr>
  </w:style>
  <w:style w:type="paragraph" w:customStyle="1" w:styleId="89">
    <w:name w:val="标准文件_附录章标题"/>
    <w:next w:val="58"/>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uiPriority w:val="0"/>
    <w:pPr>
      <w:ind w:left="488" w:leftChars="200" w:hanging="289" w:hangingChars="290"/>
    </w:pPr>
  </w:style>
  <w:style w:type="paragraph" w:customStyle="1" w:styleId="91">
    <w:name w:val="标准文件_前言、引言标题"/>
    <w:next w:val="1"/>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uiPriority w:val="0"/>
    <w:pPr>
      <w:spacing w:line="460" w:lineRule="exact"/>
      <w:ind w:left="0" w:firstLine="0"/>
    </w:pPr>
  </w:style>
  <w:style w:type="paragraph" w:customStyle="1" w:styleId="93">
    <w:name w:val="标准文件_目录标题"/>
    <w:basedOn w:val="1"/>
    <w:uiPriority w:val="0"/>
    <w:pPr>
      <w:spacing w:before="480" w:after="150" w:afterLines="150" w:line="240" w:lineRule="auto"/>
      <w:jc w:val="center"/>
    </w:pPr>
    <w:rPr>
      <w:rFonts w:ascii="黑体" w:eastAsia="黑体"/>
      <w:sz w:val="32"/>
    </w:rPr>
  </w:style>
  <w:style w:type="paragraph" w:customStyle="1" w:styleId="94">
    <w:name w:val="标准文件_破折号列项"/>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pPr>
  </w:style>
  <w:style w:type="paragraph" w:customStyle="1" w:styleId="96">
    <w:name w:val="标准文件_三级条标题"/>
    <w:basedOn w:val="67"/>
    <w:next w:val="58"/>
    <w:qFormat/>
    <w:uiPriority w:val="0"/>
    <w:pPr>
      <w:widowControl/>
      <w:numPr>
        <w:ilvl w:val="4"/>
      </w:numPr>
      <w:outlineLvl w:val="3"/>
    </w:pPr>
  </w:style>
  <w:style w:type="character" w:customStyle="1" w:styleId="97">
    <w:name w:val="Subtle Reference"/>
    <w:qFormat/>
    <w:uiPriority w:val="31"/>
    <w:rPr>
      <w:smallCaps/>
      <w:color w:val="C0504D"/>
      <w:u w:val="single"/>
    </w:rPr>
  </w:style>
  <w:style w:type="paragraph" w:customStyle="1" w:styleId="98">
    <w:name w:val="标准文件_示例后续"/>
    <w:basedOn w:val="1"/>
    <w:uiPriority w:val="0"/>
    <w:pPr>
      <w:adjustRightInd/>
      <w:spacing w:line="240" w:lineRule="auto"/>
      <w:ind w:firstLine="200" w:firstLineChars="200"/>
    </w:pPr>
    <w:rPr>
      <w:sz w:val="18"/>
      <w:szCs w:val="24"/>
    </w:rPr>
  </w:style>
  <w:style w:type="paragraph" w:customStyle="1" w:styleId="99">
    <w:name w:val="标准文件_数字编号列项"/>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uiPriority w:val="0"/>
    <w:rPr>
      <w:rFonts w:ascii="宋体"/>
      <w:kern w:val="2"/>
      <w:sz w:val="18"/>
      <w:szCs w:val="18"/>
    </w:rPr>
  </w:style>
  <w:style w:type="paragraph" w:customStyle="1" w:styleId="102">
    <w:name w:val="标准文件_条文脚注"/>
    <w:basedOn w:val="22"/>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uiPriority w:val="0"/>
    <w:pPr>
      <w:numPr>
        <w:ilvl w:val="0"/>
        <w:numId w:val="12"/>
      </w:numPr>
      <w:spacing w:line="240" w:lineRule="auto"/>
      <w:jc w:val="left"/>
    </w:pPr>
    <w:rPr>
      <w:rFonts w:ascii="宋体" w:hAnsi="宋体"/>
      <w:sz w:val="18"/>
    </w:rPr>
  </w:style>
  <w:style w:type="character" w:customStyle="1" w:styleId="104">
    <w:name w:val="标准文件_图表脚注内容"/>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0"/>
    <w:pPr>
      <w:numPr>
        <w:ilvl w:val="2"/>
      </w:numPr>
      <w:spacing w:before="50" w:beforeLines="50" w:after="50" w:afterLines="50"/>
      <w:outlineLvl w:val="1"/>
    </w:pPr>
  </w:style>
  <w:style w:type="paragraph" w:customStyle="1" w:styleId="108">
    <w:name w:val="标准文件_一致程度"/>
    <w:basedOn w:val="1"/>
    <w:uiPriority w:val="0"/>
    <w:pPr>
      <w:spacing w:line="440" w:lineRule="exact"/>
      <w:jc w:val="center"/>
    </w:pPr>
    <w:rPr>
      <w:sz w:val="28"/>
    </w:rPr>
  </w:style>
  <w:style w:type="paragraph" w:customStyle="1" w:styleId="109">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2">
    <w:name w:val="标准文件_英文注："/>
    <w:basedOn w:val="1"/>
    <w:next w:val="58"/>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0">
    <w:name w:val="二级无标题条"/>
    <w:basedOn w:val="1"/>
    <w:uiPriority w:val="0"/>
    <w:pPr>
      <w:numPr>
        <w:ilvl w:val="3"/>
        <w:numId w:val="20"/>
      </w:numPr>
      <w:adjustRightInd/>
      <w:spacing w:line="240" w:lineRule="auto"/>
    </w:pPr>
    <w:rPr>
      <w:rFonts w:ascii="宋体" w:hAnsi="宋体"/>
      <w:szCs w:val="24"/>
    </w:rPr>
  </w:style>
  <w:style w:type="paragraph" w:customStyle="1" w:styleId="121">
    <w:name w:val="发布部门"/>
    <w:next w:val="58"/>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uiPriority w:val="0"/>
    <w:pPr>
      <w:outlineLvl w:val="4"/>
    </w:pPr>
  </w:style>
  <w:style w:type="paragraph" w:customStyle="1" w:styleId="132">
    <w:name w:val="附录四级无标题条"/>
    <w:basedOn w:val="131"/>
    <w:next w:val="58"/>
    <w:uiPriority w:val="0"/>
    <w:pPr>
      <w:outlineLvl w:val="5"/>
    </w:pPr>
  </w:style>
  <w:style w:type="paragraph" w:customStyle="1" w:styleId="133">
    <w:name w:val="附录图"/>
    <w:next w:val="58"/>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uiPriority w:val="0"/>
    <w:pPr>
      <w:outlineLvl w:val="6"/>
    </w:pPr>
  </w:style>
  <w:style w:type="paragraph" w:customStyle="1" w:styleId="136">
    <w:name w:val="附录性质"/>
    <w:basedOn w:val="1"/>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uiPriority w:val="0"/>
    <w:rPr>
      <w:rFonts w:ascii="Arial" w:hAnsi="Arial" w:eastAsia="宋体" w:cs="Arial"/>
      <w:color w:val="auto"/>
      <w:spacing w:val="0"/>
      <w:sz w:val="20"/>
    </w:rPr>
  </w:style>
  <w:style w:type="character" w:customStyle="1" w:styleId="139">
    <w:name w:val="个人撰写风格"/>
    <w:uiPriority w:val="0"/>
    <w:rPr>
      <w:rFonts w:ascii="Arial" w:hAnsi="Arial" w:eastAsia="宋体" w:cs="Arial"/>
      <w:color w:val="auto"/>
      <w:spacing w:val="0"/>
      <w:sz w:val="20"/>
    </w:rPr>
  </w:style>
  <w:style w:type="paragraph" w:customStyle="1" w:styleId="140">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uiPriority w:val="0"/>
    <w:pPr>
      <w:tabs>
        <w:tab w:val="left" w:pos="840"/>
      </w:tabs>
    </w:pPr>
  </w:style>
  <w:style w:type="paragraph" w:customStyle="1" w:styleId="143">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autoRedefine/>
    <w:semiHidden/>
    <w:uiPriority w:val="0"/>
    <w:pPr>
      <w:adjustRightInd/>
      <w:spacing w:line="240" w:lineRule="auto"/>
      <w:jc w:val="left"/>
    </w:pPr>
    <w:rPr>
      <w:bCs/>
      <w:iCs/>
    </w:rPr>
  </w:style>
  <w:style w:type="paragraph" w:customStyle="1" w:styleId="145">
    <w:name w:val="目录 31"/>
    <w:basedOn w:val="1"/>
    <w:next w:val="1"/>
    <w:autoRedefine/>
    <w:semiHidden/>
    <w:uiPriority w:val="0"/>
    <w:pPr>
      <w:spacing w:line="240" w:lineRule="auto"/>
    </w:pPr>
    <w:rPr>
      <w:rFonts w:ascii="宋体" w:hAnsi="宋体"/>
      <w:iCs/>
    </w:rPr>
  </w:style>
  <w:style w:type="paragraph" w:customStyle="1" w:styleId="146">
    <w:name w:val="目录 41"/>
    <w:basedOn w:val="1"/>
    <w:next w:val="1"/>
    <w:autoRedefine/>
    <w:semiHidden/>
    <w:uiPriority w:val="0"/>
    <w:pPr>
      <w:adjustRightInd/>
      <w:spacing w:line="240" w:lineRule="auto"/>
      <w:jc w:val="left"/>
    </w:pPr>
  </w:style>
  <w:style w:type="paragraph" w:customStyle="1" w:styleId="147">
    <w:name w:val="目录 51"/>
    <w:basedOn w:val="1"/>
    <w:next w:val="1"/>
    <w:autoRedefine/>
    <w:semiHidden/>
    <w:uiPriority w:val="0"/>
    <w:pPr>
      <w:spacing w:line="240" w:lineRule="auto"/>
    </w:pPr>
    <w:rPr>
      <w:rFonts w:ascii="宋体" w:hAnsi="宋体"/>
    </w:rPr>
  </w:style>
  <w:style w:type="paragraph" w:customStyle="1" w:styleId="148">
    <w:name w:val="目录 61"/>
    <w:basedOn w:val="1"/>
    <w:next w:val="1"/>
    <w:autoRedefine/>
    <w:semiHidden/>
    <w:uiPriority w:val="0"/>
    <w:pPr>
      <w:adjustRightInd/>
      <w:spacing w:line="240" w:lineRule="auto"/>
      <w:jc w:val="left"/>
    </w:pPr>
  </w:style>
  <w:style w:type="paragraph" w:customStyle="1" w:styleId="149">
    <w:name w:val="目录 71"/>
    <w:basedOn w:val="148"/>
    <w:autoRedefine/>
    <w:semiHidden/>
    <w:uiPriority w:val="0"/>
    <w:pPr>
      <w:ind w:left="1260"/>
    </w:pPr>
  </w:style>
  <w:style w:type="paragraph" w:customStyle="1" w:styleId="150">
    <w:name w:val="目录 81"/>
    <w:basedOn w:val="149"/>
    <w:autoRedefine/>
    <w:semiHidden/>
    <w:uiPriority w:val="0"/>
    <w:pPr>
      <w:ind w:left="1470"/>
    </w:pPr>
  </w:style>
  <w:style w:type="paragraph" w:customStyle="1" w:styleId="151">
    <w:name w:val="目录 91"/>
    <w:basedOn w:val="150"/>
    <w:autoRedefine/>
    <w:semiHidden/>
    <w:uiPriority w:val="0"/>
    <w:pPr>
      <w:ind w:left="1680"/>
    </w:pPr>
  </w:style>
  <w:style w:type="paragraph" w:customStyle="1" w:styleId="152">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uiPriority w:val="0"/>
    <w:pPr>
      <w:framePr w:wrap="around"/>
      <w:spacing w:line="0" w:lineRule="atLeast"/>
    </w:pPr>
    <w:rPr>
      <w:rFonts w:ascii="黑体" w:eastAsia="黑体"/>
      <w:b w:val="0"/>
    </w:rPr>
  </w:style>
  <w:style w:type="paragraph" w:customStyle="1" w:styleId="15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uiPriority w:val="0"/>
    <w:pPr>
      <w:numPr>
        <w:ilvl w:val="4"/>
        <w:numId w:val="20"/>
      </w:numPr>
      <w:adjustRightInd/>
      <w:spacing w:line="240" w:lineRule="auto"/>
    </w:pPr>
    <w:rPr>
      <w:rFonts w:ascii="宋体" w:hAnsi="宋体"/>
      <w:szCs w:val="24"/>
    </w:rPr>
  </w:style>
  <w:style w:type="paragraph" w:customStyle="1" w:styleId="156">
    <w:name w:val="实施日期"/>
    <w:basedOn w:val="122"/>
    <w:uiPriority w:val="0"/>
    <w:pPr>
      <w:framePr w:hSpace="0" w:wrap="around" w:xAlign="right"/>
      <w:jc w:val="right"/>
    </w:pPr>
  </w:style>
  <w:style w:type="paragraph" w:customStyle="1" w:styleId="157">
    <w:name w:val="四级无标题条"/>
    <w:basedOn w:val="1"/>
    <w:uiPriority w:val="0"/>
    <w:pPr>
      <w:numPr>
        <w:ilvl w:val="5"/>
        <w:numId w:val="20"/>
      </w:numPr>
      <w:adjustRightInd/>
      <w:spacing w:line="240" w:lineRule="auto"/>
    </w:pPr>
    <w:rPr>
      <w:rFonts w:ascii="宋体" w:hAnsi="宋体"/>
      <w:szCs w:val="24"/>
    </w:rPr>
  </w:style>
  <w:style w:type="paragraph" w:customStyle="1" w:styleId="158">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uiPriority w:val="0"/>
    <w:pPr>
      <w:jc w:val="both"/>
    </w:pPr>
    <w:rPr>
      <w:rFonts w:ascii="宋体" w:hAnsi="宋体" w:eastAsia="宋体" w:cs="Times New Roman"/>
      <w:sz w:val="21"/>
      <w:lang w:val="en-US" w:eastAsia="zh-CN" w:bidi="ar-SA"/>
    </w:rPr>
  </w:style>
  <w:style w:type="paragraph" w:customStyle="1" w:styleId="160">
    <w:name w:val="五级无标题条"/>
    <w:basedOn w:val="1"/>
    <w:uiPriority w:val="0"/>
    <w:pPr>
      <w:numPr>
        <w:ilvl w:val="6"/>
        <w:numId w:val="20"/>
      </w:numPr>
      <w:adjustRightInd/>
    </w:pPr>
    <w:rPr>
      <w:szCs w:val="24"/>
    </w:rPr>
  </w:style>
  <w:style w:type="paragraph" w:customStyle="1" w:styleId="161">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2">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uiPriority w:val="0"/>
    <w:pPr>
      <w:ind w:left="1406" w:leftChars="0" w:hanging="499" w:firstLineChars="0"/>
    </w:pPr>
  </w:style>
  <w:style w:type="paragraph" w:customStyle="1" w:styleId="164">
    <w:name w:val="标准文件_一级无标题"/>
    <w:basedOn w:val="107"/>
    <w:qFormat/>
    <w:uiPriority w:val="0"/>
    <w:pPr>
      <w:spacing w:before="0" w:beforeLines="0" w:after="0" w:afterLines="0"/>
      <w:outlineLvl w:val="9"/>
    </w:pPr>
    <w:rPr>
      <w:rFonts w:ascii="宋体" w:eastAsia="宋体"/>
    </w:rPr>
  </w:style>
  <w:style w:type="paragraph" w:customStyle="1" w:styleId="165">
    <w:name w:val="标准文件_五级无标题"/>
    <w:basedOn w:val="105"/>
    <w:qFormat/>
    <w:uiPriority w:val="0"/>
    <w:pPr>
      <w:spacing w:before="0" w:beforeLines="0" w:after="0" w:afterLines="0"/>
      <w:outlineLvl w:val="9"/>
    </w:pPr>
    <w:rPr>
      <w:rFonts w:ascii="宋体" w:eastAsia="宋体"/>
    </w:rPr>
  </w:style>
  <w:style w:type="paragraph" w:customStyle="1" w:styleId="166">
    <w:name w:val="标准文件_三级无标题"/>
    <w:basedOn w:val="96"/>
    <w:qFormat/>
    <w:uiPriority w:val="0"/>
    <w:pPr>
      <w:spacing w:before="0" w:beforeLines="0" w:after="0" w:afterLines="0"/>
      <w:outlineLvl w:val="9"/>
    </w:pPr>
    <w:rPr>
      <w:rFonts w:ascii="宋体" w:eastAsia="宋体"/>
    </w:rPr>
  </w:style>
  <w:style w:type="paragraph" w:customStyle="1" w:styleId="167">
    <w:name w:val="标准文件_二级无标题"/>
    <w:basedOn w:val="67"/>
    <w:qFormat/>
    <w:uiPriority w:val="0"/>
    <w:pPr>
      <w:spacing w:before="0" w:beforeLines="0" w:after="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0" w:beforeLines="0" w:after="0" w:afterLines="0"/>
      <w:outlineLvl w:val="9"/>
    </w:pPr>
    <w:rPr>
      <w:rFonts w:ascii="宋体" w:hAnsi="黑体" w:eastAsia="宋体"/>
      <w:szCs w:val="52"/>
    </w:rPr>
  </w:style>
  <w:style w:type="paragraph" w:customStyle="1" w:styleId="170">
    <w:name w:val="标准文件_大写罗马数字编号列项"/>
    <w:basedOn w:val="58"/>
    <w:qFormat/>
    <w:uiPriority w:val="0"/>
    <w:pPr>
      <w:numPr>
        <w:ilvl w:val="0"/>
        <w:numId w:val="23"/>
      </w:numPr>
      <w:ind w:firstLine="0" w:firstLineChars="0"/>
    </w:pPr>
    <w:rPr>
      <w:rFonts w:ascii="Times New Roman" w:cs="Arial"/>
      <w:szCs w:val="28"/>
    </w:rPr>
  </w:style>
  <w:style w:type="paragraph" w:customStyle="1" w:styleId="171">
    <w:name w:val="标准文件_小写罗马数字编号列项"/>
    <w:basedOn w:val="58"/>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uiPriority w:val="0"/>
    <w:rPr>
      <w:rFonts w:ascii="宋体" w:hAnsi="Times New Roman" w:eastAsia="宋体" w:cs="Times New Roman"/>
      <w:sz w:val="21"/>
      <w:lang w:val="en-US" w:eastAsia="zh-CN" w:bidi="ar-SA"/>
    </w:rPr>
  </w:style>
  <w:style w:type="paragraph" w:customStyle="1" w:styleId="174">
    <w:name w:val="标准文件_三级项"/>
    <w:basedOn w:val="1"/>
    <w:uiPriority w:val="0"/>
    <w:pPr>
      <w:numPr>
        <w:ilvl w:val="2"/>
        <w:numId w:val="21"/>
      </w:numPr>
      <w:spacing w:line="536870612" w:lineRule="auto"/>
    </w:pPr>
    <w:rPr>
      <w:rFonts w:ascii="Times New Roman" w:hAnsi="Times New Roman"/>
    </w:rPr>
  </w:style>
  <w:style w:type="paragraph" w:customStyle="1" w:styleId="175">
    <w:name w:val="图表脚注说明"/>
    <w:basedOn w:val="1"/>
    <w:next w:val="58"/>
    <w:uiPriority w:val="0"/>
    <w:pPr>
      <w:numPr>
        <w:ilvl w:val="0"/>
        <w:numId w:val="25"/>
      </w:numPr>
      <w:adjustRightInd/>
      <w:spacing w:line="240" w:lineRule="auto"/>
    </w:pPr>
    <w:rPr>
      <w:rFonts w:ascii="宋体" w:hAnsi="Times New Roman"/>
      <w:sz w:val="18"/>
      <w:szCs w:val="18"/>
    </w:rPr>
  </w:style>
  <w:style w:type="paragraph" w:customStyle="1" w:styleId="176">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qFormat/>
    <w:uiPriority w:val="0"/>
    <w:rPr>
      <w:rFonts w:ascii="宋体"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30"/>
    <w:semiHidden/>
    <w:uiPriority w:val="99"/>
    <w:rPr>
      <w:color w:val="808080"/>
    </w:rPr>
  </w:style>
  <w:style w:type="paragraph" w:customStyle="1" w:styleId="189">
    <w:name w:val="标准文件_二级项2"/>
    <w:basedOn w:val="58"/>
    <w:qFormat/>
    <w:uiPriority w:val="0"/>
    <w:pPr>
      <w:numPr>
        <w:ilvl w:val="1"/>
        <w:numId w:val="21"/>
      </w:numPr>
      <w:ind w:firstLine="0" w:firstLineChars="0"/>
    </w:pPr>
  </w:style>
  <w:style w:type="paragraph" w:customStyle="1" w:styleId="190">
    <w:name w:val="标准文件_三级项2"/>
    <w:basedOn w:val="58"/>
    <w:qFormat/>
    <w:uiPriority w:val="0"/>
    <w:pPr>
      <w:numPr>
        <w:ilvl w:val="0"/>
        <w:numId w:val="30"/>
      </w:numPr>
      <w:spacing w:line="300" w:lineRule="exact"/>
      <w:ind w:firstLineChars="0"/>
    </w:pPr>
    <w:rPr>
      <w:rFonts w:ascii="Times New Roman"/>
    </w:rPr>
  </w:style>
  <w:style w:type="paragraph" w:customStyle="1" w:styleId="191">
    <w:name w:val="标准文件_一级项2"/>
    <w:basedOn w:val="58"/>
    <w:qFormat/>
    <w:uiPriority w:val="0"/>
    <w:pPr>
      <w:numPr>
        <w:ilvl w:val="0"/>
        <w:numId w:val="31"/>
      </w:numPr>
      <w:spacing w:line="300" w:lineRule="exact"/>
      <w:ind w:firstLineChars="0"/>
    </w:pPr>
    <w:rPr>
      <w:rFonts w:ascii="Times New Roman"/>
    </w:r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30"/>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uiPriority w:val="0"/>
    <w:pPr>
      <w:framePr w:w="3997" w:h="471" w:hRule="exact" w:hSpace="0" w:vSpace="181" w:wrap="around" w:vAnchor="page" w:hAnchor="page" w:x="1419" w:y="14097"/>
    </w:pPr>
  </w:style>
  <w:style w:type="paragraph" w:customStyle="1" w:styleId="196">
    <w:name w:val="其他实施日期"/>
    <w:basedOn w:val="156"/>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frame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50" w:beforeLines="50" w:after="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50" w:beforeLines="50" w:after="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50" w:beforeLines="50" w:after="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50" w:beforeLines="50" w:after="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50" w:beforeLines="50" w:after="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二级无标题"/>
    <w:basedOn w:val="81"/>
    <w:uiPriority w:val="0"/>
    <w:pPr>
      <w:spacing w:before="0" w:beforeLines="0" w:after="0" w:afterLines="0" w:line="276" w:lineRule="auto"/>
      <w:outlineLvl w:val="9"/>
    </w:pPr>
    <w:rPr>
      <w:rFonts w:ascii="宋体" w:eastAsia="宋体"/>
    </w:rPr>
  </w:style>
  <w:style w:type="paragraph" w:customStyle="1" w:styleId="215">
    <w:name w:val="标准文件_附录三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四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五级无标题"/>
    <w:basedOn w:val="86"/>
    <w:qFormat/>
    <w:uiPriority w:val="0"/>
    <w:pPr>
      <w:spacing w:before="0" w:beforeLines="0" w:after="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0" w:beforeLines="0" w:after="0" w:afterLines="0" w:line="276" w:lineRule="auto"/>
    </w:pPr>
    <w:rPr>
      <w:rFonts w:ascii="宋体" w:eastAsia="宋体"/>
    </w:rPr>
  </w:style>
  <w:style w:type="paragraph" w:customStyle="1" w:styleId="219">
    <w:name w:val="标准文件_引言二级无标题"/>
    <w:basedOn w:val="203"/>
    <w:next w:val="58"/>
    <w:qFormat/>
    <w:uiPriority w:val="0"/>
    <w:pPr>
      <w:spacing w:before="0" w:beforeLines="0" w:after="0" w:afterLines="0" w:line="276" w:lineRule="auto"/>
    </w:pPr>
    <w:rPr>
      <w:rFonts w:ascii="宋体" w:eastAsia="宋体"/>
    </w:rPr>
  </w:style>
  <w:style w:type="paragraph" w:customStyle="1" w:styleId="220">
    <w:name w:val="标准文件_引言三级无标题"/>
    <w:basedOn w:val="204"/>
    <w:qFormat/>
    <w:uiPriority w:val="0"/>
    <w:pPr>
      <w:spacing w:before="0" w:beforeLines="0" w:after="0" w:afterLines="0" w:line="276" w:lineRule="auto"/>
    </w:pPr>
    <w:rPr>
      <w:rFonts w:ascii="宋体" w:eastAsia="宋体"/>
    </w:rPr>
  </w:style>
  <w:style w:type="paragraph" w:customStyle="1" w:styleId="221">
    <w:name w:val="标准文件_引言四级无标题"/>
    <w:basedOn w:val="205"/>
    <w:next w:val="58"/>
    <w:qFormat/>
    <w:uiPriority w:val="0"/>
    <w:pPr>
      <w:spacing w:before="0" w:beforeLines="0" w:after="0" w:afterLines="0" w:line="276" w:lineRule="auto"/>
    </w:pPr>
    <w:rPr>
      <w:rFonts w:ascii="宋体" w:eastAsia="宋体"/>
    </w:rPr>
  </w:style>
  <w:style w:type="paragraph" w:customStyle="1" w:styleId="222">
    <w:name w:val="标准文件_引言五级无标题"/>
    <w:basedOn w:val="206"/>
    <w:next w:val="58"/>
    <w:qFormat/>
    <w:uiPriority w:val="0"/>
    <w:pPr>
      <w:spacing w:before="0" w:beforeLines="0" w:after="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0"/>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30"/>
    <w:uiPriority w:val="0"/>
    <w:rPr>
      <w:rFonts w:ascii="黑体" w:eastAsia="黑体"/>
      <w:spacing w:val="85"/>
      <w:w w:val="100"/>
      <w:position w:val="3"/>
      <w:sz w:val="28"/>
      <w:szCs w:val="28"/>
    </w:rPr>
  </w:style>
  <w:style w:type="paragraph" w:customStyle="1" w:styleId="232">
    <w:name w:val="Table Text"/>
    <w:basedOn w:val="1"/>
    <w:semiHidden/>
    <w:qFormat/>
    <w:uiPriority w:val="0"/>
    <w:pPr>
      <w:snapToGrid w:val="0"/>
      <w:spacing w:line="360" w:lineRule="auto"/>
      <w:jc w:val="left"/>
    </w:pPr>
    <w:rPr>
      <w:rFonts w:ascii="宋体" w:hAnsi="宋体" w:cs="宋体"/>
      <w:kern w:val="0"/>
      <w:sz w:val="19"/>
      <w:szCs w:val="19"/>
      <w:lang w:eastAsia="en-US"/>
    </w:rPr>
  </w:style>
  <w:style w:type="character" w:customStyle="1" w:styleId="233">
    <w:name w:val="Unresolved Mention"/>
    <w:basedOn w:val="30"/>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glossaryDocument" Target="glossary/document.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oleObject" Target="embeddings/oleObject4.bin"/><Relationship Id="rId36" Type="http://schemas.openxmlformats.org/officeDocument/2006/relationships/oleObject" Target="embeddings/oleObject3.bin"/><Relationship Id="rId35" Type="http://schemas.openxmlformats.org/officeDocument/2006/relationships/oleObject" Target="embeddings/oleObject2.bin"/><Relationship Id="rId34" Type="http://schemas.openxmlformats.org/officeDocument/2006/relationships/image" Target="media/image3.wmf"/><Relationship Id="rId33" Type="http://schemas.openxmlformats.org/officeDocument/2006/relationships/oleObject" Target="embeddings/oleObject1.bin"/><Relationship Id="rId32" Type="http://schemas.openxmlformats.org/officeDocument/2006/relationships/image" Target="media/image2.png"/><Relationship Id="rId31" Type="http://schemas.openxmlformats.org/officeDocument/2006/relationships/image" Target="media/image1.tiff"/><Relationship Id="rId30" Type="http://schemas.openxmlformats.org/officeDocument/2006/relationships/theme" Target="theme/theme1.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footer" Target="footer11.xml"/><Relationship Id="rId27" Type="http://schemas.openxmlformats.org/officeDocument/2006/relationships/header" Target="header13.xml"/><Relationship Id="rId26" Type="http://schemas.openxmlformats.org/officeDocument/2006/relationships/header" Target="header12.xml"/><Relationship Id="rId25" Type="http://schemas.openxmlformats.org/officeDocument/2006/relationships/footer" Target="footer10.xml"/><Relationship Id="rId24" Type="http://schemas.openxmlformats.org/officeDocument/2006/relationships/footer" Target="footer9.xml"/><Relationship Id="rId23" Type="http://schemas.openxmlformats.org/officeDocument/2006/relationships/header" Target="header11.xml"/><Relationship Id="rId22" Type="http://schemas.openxmlformats.org/officeDocument/2006/relationships/header" Target="header10.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6.xml"/><Relationship Id="rId16" Type="http://schemas.openxmlformats.org/officeDocument/2006/relationships/footer" Target="footer5.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69C3A9D7B434EFC82236002ED9A95C4"/>
        <w:style w:val=""/>
        <w:category>
          <w:name w:val="常规"/>
          <w:gallery w:val="placeholder"/>
        </w:category>
        <w:types>
          <w:type w:val="bbPlcHdr"/>
        </w:types>
        <w:behaviors>
          <w:behavior w:val="content"/>
        </w:behaviors>
        <w:description w:val=""/>
        <w:guid w:val="{FEDC8733-D509-43D1-854F-9940B8680111}"/>
      </w:docPartPr>
      <w:docPartBody>
        <w:p w14:paraId="55DBE5B8">
          <w:pPr>
            <w:pStyle w:val="5"/>
          </w:pPr>
          <w:r>
            <w:rPr>
              <w:rStyle w:val="4"/>
              <w:rFonts w:hint="eastAsia"/>
            </w:rPr>
            <w:t>单击或点击此处输入文字。</w:t>
          </w:r>
        </w:p>
      </w:docPartBody>
    </w:docPart>
    <w:docPart>
      <w:docPartPr>
        <w:name w:val="D534CBF346544D788F73A2E465417812"/>
        <w:style w:val=""/>
        <w:category>
          <w:name w:val="常规"/>
          <w:gallery w:val="placeholder"/>
        </w:category>
        <w:types>
          <w:type w:val="bbPlcHdr"/>
        </w:types>
        <w:behaviors>
          <w:behavior w:val="content"/>
        </w:behaviors>
        <w:description w:val=""/>
        <w:guid w:val="{98E14315-7373-49DB-B7C4-F7C9CC4B947D}"/>
      </w:docPartPr>
      <w:docPartBody>
        <w:p w14:paraId="2725DB0C">
          <w:pPr>
            <w:pStyle w:val="6"/>
          </w:pPr>
          <w:r>
            <w:rPr>
              <w:rStyle w:val="4"/>
              <w:rFonts w:hint="eastAsia"/>
            </w:rPr>
            <w:t>选择一项。</w:t>
          </w:r>
        </w:p>
      </w:docPartBody>
    </w:docPart>
    <w:docPart>
      <w:docPartPr>
        <w:name w:val="450D0F47466646AA8AE369FFD6B1AF8A"/>
        <w:style w:val=""/>
        <w:category>
          <w:name w:val="常规"/>
          <w:gallery w:val="placeholder"/>
        </w:category>
        <w:types>
          <w:type w:val="bbPlcHdr"/>
        </w:types>
        <w:behaviors>
          <w:behavior w:val="content"/>
        </w:behaviors>
        <w:description w:val=""/>
        <w:guid w:val="{29A0D952-A218-479E-97CA-52366075A9B0}"/>
      </w:docPartPr>
      <w:docPartBody>
        <w:p w14:paraId="77652F86">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07E8"/>
    <w:rsid w:val="001607E8"/>
    <w:rsid w:val="0022087D"/>
    <w:rsid w:val="00245E35"/>
    <w:rsid w:val="00247125"/>
    <w:rsid w:val="00295DB0"/>
    <w:rsid w:val="00324FED"/>
    <w:rsid w:val="00520D6C"/>
    <w:rsid w:val="00523667"/>
    <w:rsid w:val="00591627"/>
    <w:rsid w:val="006116FE"/>
    <w:rsid w:val="00702787"/>
    <w:rsid w:val="00D829BC"/>
    <w:rsid w:val="00F1084A"/>
    <w:rsid w:val="00F616D2"/>
    <w:rsid w:val="00F63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F69C3A9D7B434EFC82236002ED9A95C4"/>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6">
    <w:name w:val="D534CBF346544D788F73A2E465417812"/>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7">
    <w:name w:val="450D0F47466646AA8AE369FFD6B1AF8A"/>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F03465-9310-430F-A8A0-DFC80D2CA8A6}">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94</Pages>
  <Words>9080</Words>
  <Characters>10554</Characters>
  <Lines>4049</Lines>
  <Paragraphs>4527</Paragraphs>
  <TotalTime>311</TotalTime>
  <ScaleCrop>false</ScaleCrop>
  <LinksUpToDate>false</LinksUpToDate>
  <CharactersWithSpaces>11190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2024-08-11T07:08:00Z</dcterms:created>
  <dc:creator>DCZL</dc:creator>
  <dc:description>&lt;config cover="true" show_menu="true" version="1.0.0" doctype="SDKXY"&gt;_x000d_
&lt;/config&gt;</dc:description>
  <cp:lastModifiedBy>mmme</cp:lastModifiedBy>
  <cp:lastPrinted>2024-09-25T08:08:00Z</cp:lastPrinted>
  <dcterms:modified xsi:type="dcterms:W3CDTF">2024-10-18T05:34:33Z</dcterms:modified>
  <dc:title>地方标准</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2052-12.1.0.18608</vt:lpwstr>
  </property>
  <property fmtid="{D5CDD505-2E9C-101B-9397-08002B2CF9AE}" pid="15" name="ICV">
    <vt:lpwstr>A7E5D7E646C148EFBF0AE0161258EB38_12</vt:lpwstr>
  </property>
</Properties>
</file>